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
        <w:rPr>
          <w:rFonts w:ascii="宋体" w:hAnsi="宋体" w:eastAsia="宋体" w:cs="宋体"/>
          <w:sz w:val="14"/>
          <w:szCs w:val="14"/>
          <w:lang w:eastAsia="zh-CN"/>
        </w:rPr>
      </w:pPr>
    </w:p>
    <w:p>
      <w:pPr>
        <w:spacing w:line="460" w:lineRule="exact"/>
        <w:ind w:left="720" w:firstLine="840"/>
        <w:rPr>
          <w:rFonts w:ascii="宋体" w:hAnsi="宋体" w:eastAsia="宋体" w:cs="宋体"/>
          <w:b/>
          <w:bCs/>
          <w:sz w:val="36"/>
          <w:szCs w:val="36"/>
          <w:lang w:eastAsia="zh-CN"/>
        </w:rPr>
      </w:pPr>
      <w:bookmarkStart w:id="1" w:name="_GoBack"/>
      <w:bookmarkEnd w:id="1"/>
      <w:bookmarkStart w:id="0" w:name="公开工作方案之二附2：部门项目绩效评价结果公开参考模板"/>
      <w:bookmarkEnd w:id="0"/>
    </w:p>
    <w:p>
      <w:pPr>
        <w:spacing w:line="460" w:lineRule="exact"/>
        <w:ind w:left="720" w:firstLine="840"/>
        <w:rPr>
          <w:rFonts w:ascii="宋体" w:hAnsi="宋体" w:eastAsia="宋体" w:cs="宋体"/>
          <w:sz w:val="36"/>
          <w:szCs w:val="36"/>
          <w:lang w:eastAsia="zh-CN"/>
        </w:rPr>
      </w:pPr>
      <w:r>
        <w:rPr>
          <w:rFonts w:hint="eastAsia" w:ascii="宋体" w:hAnsi="宋体" w:eastAsia="宋体" w:cs="宋体"/>
          <w:b/>
          <w:bCs/>
          <w:sz w:val="36"/>
          <w:szCs w:val="36"/>
          <w:lang w:eastAsia="zh-CN"/>
        </w:rPr>
        <w:t>发改局</w:t>
      </w:r>
      <w:r>
        <w:rPr>
          <w:rFonts w:ascii="宋体" w:hAnsi="宋体" w:eastAsia="宋体" w:cs="宋体"/>
          <w:b/>
          <w:bCs/>
          <w:sz w:val="36"/>
          <w:szCs w:val="36"/>
          <w:lang w:eastAsia="zh-CN"/>
        </w:rPr>
        <w:t>项目绩效评价报告</w:t>
      </w:r>
    </w:p>
    <w:p>
      <w:pPr>
        <w:rPr>
          <w:rFonts w:ascii="宋体" w:hAnsi="宋体" w:eastAsia="宋体" w:cs="宋体"/>
          <w:b/>
          <w:bCs/>
          <w:sz w:val="36"/>
          <w:szCs w:val="36"/>
          <w:lang w:eastAsia="zh-CN"/>
        </w:rPr>
      </w:pPr>
    </w:p>
    <w:p>
      <w:pPr>
        <w:spacing w:before="11"/>
        <w:rPr>
          <w:rFonts w:ascii="宋体" w:hAnsi="宋体" w:eastAsia="宋体" w:cs="宋体"/>
          <w:b/>
          <w:bCs/>
          <w:sz w:val="32"/>
          <w:szCs w:val="32"/>
          <w:lang w:eastAsia="zh-CN"/>
        </w:rPr>
      </w:pPr>
    </w:p>
    <w:p>
      <w:pPr>
        <w:pStyle w:val="3"/>
        <w:spacing w:before="0"/>
        <w:ind w:right="193" w:firstLine="599"/>
        <w:jc w:val="both"/>
        <w:rPr>
          <w:rFonts w:cs="仿宋_GB2312"/>
          <w:spacing w:val="-4"/>
          <w:sz w:val="32"/>
          <w:szCs w:val="32"/>
          <w:lang w:eastAsia="zh-CN"/>
        </w:rPr>
      </w:pPr>
      <w:r>
        <w:rPr>
          <w:rFonts w:cs="仿宋_GB2312"/>
          <w:spacing w:val="-4"/>
          <w:sz w:val="32"/>
          <w:szCs w:val="32"/>
          <w:lang w:eastAsia="zh-CN"/>
        </w:rPr>
        <w:t>为贯彻落实党的十九大关于“全面实施绩效管理”的战略部署，提高财政资源配置效率和使用效益，根据《中华人民共和国预算法》和中共中央办公厅《关于人大预算审查监督重点向支出预算和政策拓展的指导意见》的要求，</w:t>
      </w:r>
      <w:r>
        <w:rPr>
          <w:rFonts w:hint="eastAsia" w:cs="仿宋_GB2312"/>
          <w:spacing w:val="-4"/>
          <w:sz w:val="32"/>
          <w:szCs w:val="32"/>
          <w:lang w:eastAsia="zh-CN"/>
        </w:rPr>
        <w:t>现就发改局</w:t>
      </w:r>
      <w:r>
        <w:rPr>
          <w:rFonts w:cs="仿宋_GB2312"/>
          <w:spacing w:val="-4"/>
          <w:sz w:val="32"/>
          <w:szCs w:val="32"/>
          <w:lang w:eastAsia="zh-CN"/>
        </w:rPr>
        <w:t>项目进行绩效评价。</w:t>
      </w:r>
    </w:p>
    <w:p>
      <w:pPr>
        <w:pStyle w:val="3"/>
        <w:spacing w:before="0"/>
        <w:ind w:left="720"/>
        <w:rPr>
          <w:rFonts w:ascii="黑体" w:hAnsi="黑体" w:eastAsia="黑体" w:cs="黑体"/>
          <w:sz w:val="32"/>
          <w:szCs w:val="32"/>
          <w:lang w:eastAsia="zh-CN"/>
        </w:rPr>
      </w:pPr>
      <w:r>
        <w:rPr>
          <w:rFonts w:ascii="黑体" w:hAnsi="黑体" w:eastAsia="黑体" w:cs="黑体"/>
          <w:sz w:val="32"/>
          <w:szCs w:val="32"/>
          <w:lang w:eastAsia="zh-CN"/>
        </w:rPr>
        <w:t>一、项目基本情况</w:t>
      </w:r>
    </w:p>
    <w:p>
      <w:pPr>
        <w:ind w:firstLine="660"/>
        <w:rPr>
          <w:rFonts w:hint="eastAsia" w:ascii="仿宋_GB2312" w:hAnsi="华文中宋" w:eastAsia="仿宋_GB2312"/>
          <w:sz w:val="32"/>
          <w:szCs w:val="32"/>
          <w:lang w:val="en-US" w:eastAsia="zh-CN"/>
        </w:rPr>
      </w:pPr>
      <w:r>
        <w:rPr>
          <w:rFonts w:hint="eastAsia" w:ascii="仿宋_GB2312" w:hAnsi="华文中宋" w:eastAsia="仿宋_GB2312"/>
          <w:sz w:val="32"/>
          <w:szCs w:val="32"/>
          <w:lang w:eastAsia="zh-CN"/>
        </w:rPr>
        <w:t>（</w:t>
      </w:r>
      <w:r>
        <w:rPr>
          <w:rFonts w:hint="eastAsia" w:ascii="仿宋_GB2312" w:hAnsi="华文中宋" w:eastAsia="仿宋_GB2312"/>
          <w:sz w:val="32"/>
          <w:szCs w:val="32"/>
          <w:lang w:val="en-US" w:eastAsia="zh-CN"/>
        </w:rPr>
        <w:t>一）项目建设目标。通过巩固退耕还林成果项目工程的实施，要达到以下目标：一是退耕农户人均基本口粮田达2亩或人居粮食占有量达350公斤以上；二是到2015年退耕农户农村能源建设入户率达到46%以上；三是项目实施后退耕农户人均纯收入年增长10%；四是通过补植补造，使退耕地的保存面积达到90%以上。</w:t>
      </w:r>
    </w:p>
    <w:p>
      <w:pPr>
        <w:ind w:firstLine="660"/>
        <w:rPr>
          <w:rFonts w:ascii="仿宋_GB2312" w:hAnsi="华文中宋" w:eastAsia="仿宋_GB2312"/>
          <w:b/>
          <w:sz w:val="32"/>
          <w:szCs w:val="32"/>
        </w:rPr>
      </w:pPr>
      <w:r>
        <w:rPr>
          <w:rFonts w:hint="eastAsia" w:ascii="仿宋_GB2312" w:hAnsi="华文中宋" w:eastAsia="仿宋_GB2312"/>
          <w:b/>
          <w:sz w:val="32"/>
          <w:szCs w:val="32"/>
        </w:rPr>
        <w:t>二、项目立项与批复</w:t>
      </w:r>
    </w:p>
    <w:p>
      <w:pPr>
        <w:ind w:firstLine="660"/>
        <w:rPr>
          <w:rFonts w:ascii="仿宋_GB2312" w:hAnsi="华文中宋" w:eastAsia="仿宋_GB2312"/>
          <w:sz w:val="32"/>
          <w:szCs w:val="32"/>
        </w:rPr>
      </w:pPr>
      <w:r>
        <w:rPr>
          <w:rFonts w:hint="eastAsia" w:ascii="仿宋_GB2312" w:hAnsi="华文中宋" w:eastAsia="仿宋_GB2312"/>
          <w:sz w:val="32"/>
          <w:szCs w:val="32"/>
        </w:rPr>
        <w:t>根据《甘肃省巩固退更换林成果项目专项规划》及《基本口粮田规划》、《农村能源规划》、《生态移民规划》、《后续产业发展和退耕农民就业创业转移技能培训规划》、《补植补造规划》等五个分项规划的总体方案，平川区人民政府办公室下发了关于《白银市平川区巩固退耕还林成果项目建设管理办法》的通知（平政办发〔2010〕116号），2012年平川区调整成立了由发改、财政、林业、农牧、水务等部门组成的巩固退耕还林成果项目领导小组（平政办发〔2012〕174号），全面负责区内巩固退耕还林成果项目的组织实施。2016年1月，委托定西兴德生态工程规划设计院完成了《白银市平川区2015年巩固退耕还林成果项目实施方案》。《白银市平川区2015年巩固退耕还林成果项目实施方案》经市发改、水务、农牧、林业等联合进行了评审，项目评审顺利通过。2016年3月15日，市发改委下达《关于平川区2015年度巩固退耕还林成果项目实施方案的批复》（市发改西部〔2016〕110号）。</w:t>
      </w:r>
    </w:p>
    <w:p>
      <w:pPr>
        <w:ind w:firstLine="643" w:firstLineChars="200"/>
        <w:rPr>
          <w:rFonts w:ascii="仿宋_GB2312" w:hAnsi="华文中宋" w:eastAsia="仿宋_GB2312"/>
          <w:b/>
          <w:sz w:val="32"/>
          <w:szCs w:val="32"/>
        </w:rPr>
      </w:pPr>
      <w:r>
        <w:rPr>
          <w:rFonts w:hint="eastAsia" w:ascii="仿宋_GB2312" w:hAnsi="华文中宋" w:eastAsia="仿宋_GB2312"/>
          <w:b/>
          <w:sz w:val="32"/>
          <w:szCs w:val="32"/>
        </w:rPr>
        <w:t>三、项目批复建设内容</w:t>
      </w:r>
    </w:p>
    <w:p>
      <w:pPr>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2015年下达我区巩固退耕还林任务为：基本口粮田建设任务6778亩；农村能源建设太阳热水器136座；后续产业发展及退耕农民就业创业技能培训：林产品基地建设1790亩，农产品基地建设3987亩，技能培训179人，育苗94.6亩；补植补造4216亩；</w:t>
      </w:r>
      <w:r>
        <w:rPr>
          <w:rFonts w:hint="eastAsia" w:ascii="仿宋_GB2312" w:hAnsi="华文中宋" w:eastAsia="仿宋_GB2312"/>
          <w:spacing w:val="-10"/>
          <w:sz w:val="32"/>
          <w:szCs w:val="32"/>
        </w:rPr>
        <w:t>生态移民23户113人</w:t>
      </w:r>
      <w:r>
        <w:rPr>
          <w:rFonts w:hint="eastAsia" w:ascii="仿宋_GB2312" w:hAnsi="华文中宋" w:eastAsia="仿宋_GB2312"/>
          <w:sz w:val="32"/>
          <w:szCs w:val="32"/>
        </w:rPr>
        <w:t>。</w:t>
      </w:r>
    </w:p>
    <w:p>
      <w:pPr>
        <w:ind w:left="645"/>
        <w:rPr>
          <w:rFonts w:ascii="仿宋_GB2312" w:hAnsi="华文中宋" w:eastAsia="仿宋_GB2312"/>
          <w:b/>
          <w:sz w:val="32"/>
          <w:szCs w:val="32"/>
        </w:rPr>
      </w:pPr>
      <w:r>
        <w:rPr>
          <w:rFonts w:hint="eastAsia" w:ascii="仿宋_GB2312" w:hAnsi="华文中宋" w:eastAsia="仿宋_GB2312"/>
          <w:b/>
          <w:sz w:val="32"/>
          <w:szCs w:val="32"/>
        </w:rPr>
        <w:t>四、项目批复投资情况</w:t>
      </w:r>
    </w:p>
    <w:p>
      <w:pPr>
        <w:ind w:firstLine="643" w:firstLineChars="200"/>
        <w:rPr>
          <w:rFonts w:ascii="仿宋_GB2312" w:eastAsia="仿宋_GB2312"/>
          <w:b/>
          <w:sz w:val="32"/>
          <w:szCs w:val="32"/>
        </w:rPr>
      </w:pPr>
      <w:r>
        <w:rPr>
          <w:rFonts w:hint="eastAsia" w:ascii="仿宋_GB2312" w:eastAsia="仿宋_GB2312"/>
          <w:b/>
          <w:sz w:val="32"/>
          <w:szCs w:val="32"/>
        </w:rPr>
        <w:t>（一）投资概算</w:t>
      </w:r>
    </w:p>
    <w:p>
      <w:pPr>
        <w:ind w:firstLine="640" w:firstLineChars="200"/>
        <w:rPr>
          <w:rFonts w:ascii="仿宋_GB2312" w:eastAsia="仿宋_GB2312"/>
          <w:sz w:val="32"/>
          <w:szCs w:val="32"/>
        </w:rPr>
      </w:pPr>
      <w:r>
        <w:rPr>
          <w:rFonts w:hint="eastAsia" w:ascii="仿宋_GB2312" w:eastAsia="仿宋_GB2312"/>
          <w:sz w:val="32"/>
          <w:szCs w:val="32"/>
        </w:rPr>
        <w:t>经概算平川区巩固退耕还林成果项目总投资738.83</w:t>
      </w:r>
    </w:p>
    <w:p>
      <w:pPr>
        <w:rPr>
          <w:rFonts w:ascii="仿宋_GB2312" w:hAnsi="华文中宋" w:eastAsia="仿宋_GB2312"/>
          <w:sz w:val="32"/>
          <w:szCs w:val="32"/>
        </w:rPr>
      </w:pPr>
      <w:r>
        <w:rPr>
          <w:rFonts w:hint="eastAsia" w:ascii="仿宋_GB2312" w:eastAsia="仿宋_GB2312"/>
          <w:sz w:val="32"/>
          <w:szCs w:val="32"/>
        </w:rPr>
        <w:t>万元。</w:t>
      </w:r>
      <w:r>
        <w:rPr>
          <w:rFonts w:hint="eastAsia" w:ascii="仿宋_GB2312" w:hAnsi="华文中宋" w:eastAsia="仿宋_GB2312"/>
          <w:sz w:val="32"/>
          <w:szCs w:val="32"/>
        </w:rPr>
        <w:t>其中：基本口粮田建设投资490.92万元；农村能源建设项目投资47.45万元；退耕农户后续产业和就业创业转移技能培训投资120.95万元；补植补造投资42.16万元；生态移民投资107.35万元。</w:t>
      </w:r>
    </w:p>
    <w:p>
      <w:pPr>
        <w:ind w:firstLine="643" w:firstLineChars="200"/>
        <w:rPr>
          <w:rFonts w:ascii="仿宋_GB2312" w:hAnsi="华文中宋" w:eastAsia="仿宋_GB2312"/>
          <w:b/>
          <w:sz w:val="32"/>
          <w:szCs w:val="32"/>
        </w:rPr>
      </w:pPr>
      <w:r>
        <w:rPr>
          <w:rFonts w:hint="eastAsia" w:ascii="仿宋_GB2312" w:hAnsi="华文中宋" w:eastAsia="仿宋_GB2312"/>
          <w:b/>
          <w:sz w:val="32"/>
          <w:szCs w:val="32"/>
        </w:rPr>
        <w:t>（二）资金来源</w:t>
      </w:r>
    </w:p>
    <w:p>
      <w:pPr>
        <w:ind w:firstLine="640" w:firstLineChars="200"/>
        <w:rPr>
          <w:rFonts w:hint="eastAsia" w:ascii="仿宋_GB2312" w:hAnsi="华文中宋" w:eastAsia="仿宋_GB2312"/>
          <w:sz w:val="32"/>
          <w:szCs w:val="32"/>
          <w:lang w:val="en-US" w:eastAsia="zh-CN"/>
        </w:rPr>
      </w:pPr>
      <w:r>
        <w:rPr>
          <w:rFonts w:hint="eastAsia" w:ascii="仿宋_GB2312" w:hAnsi="华文中宋" w:eastAsia="仿宋_GB2312"/>
          <w:sz w:val="32"/>
          <w:szCs w:val="32"/>
        </w:rPr>
        <w:t>项目总投资738.83万元。其中：中央专项资金597.69万元，占总投资的80.9%，群众投工投劳折资141.14万元，占总投资的19.1%。</w:t>
      </w:r>
      <w:r>
        <w:rPr>
          <w:rFonts w:hint="eastAsia" w:ascii="仿宋_GB2312" w:hAnsi="华文中宋" w:eastAsia="仿宋_GB2312"/>
          <w:sz w:val="32"/>
          <w:szCs w:val="32"/>
          <w:lang w:eastAsia="zh-CN"/>
        </w:rPr>
        <w:t>其中</w:t>
      </w:r>
      <w:r>
        <w:rPr>
          <w:rFonts w:hint="eastAsia" w:ascii="仿宋_GB2312" w:hAnsi="华文中宋" w:eastAsia="仿宋_GB2312"/>
          <w:sz w:val="32"/>
          <w:szCs w:val="32"/>
          <w:lang w:val="en-US" w:eastAsia="zh-CN"/>
        </w:rPr>
        <w:t>2017结转资金125.11万元，2018年省级配套34万元，其余资金在以前年度已支付。</w:t>
      </w:r>
    </w:p>
    <w:p>
      <w:pPr>
        <w:pStyle w:val="3"/>
        <w:spacing w:before="0"/>
        <w:ind w:left="0" w:leftChars="0" w:firstLine="688" w:firstLineChars="200"/>
        <w:rPr>
          <w:rFonts w:ascii="黑体" w:hAnsi="黑体" w:eastAsia="黑体" w:cs="黑体"/>
          <w:sz w:val="32"/>
          <w:szCs w:val="32"/>
          <w:lang w:eastAsia="zh-CN"/>
        </w:rPr>
      </w:pPr>
      <w:r>
        <w:rPr>
          <w:rFonts w:hint="eastAsia" w:ascii="黑体" w:hAnsi="黑体" w:eastAsia="黑体" w:cs="黑体"/>
          <w:spacing w:val="12"/>
          <w:sz w:val="32"/>
          <w:szCs w:val="32"/>
          <w:lang w:eastAsia="zh-CN"/>
        </w:rPr>
        <w:t>五</w:t>
      </w:r>
      <w:r>
        <w:rPr>
          <w:rFonts w:ascii="黑体" w:hAnsi="黑体" w:eastAsia="黑体" w:cs="黑体"/>
          <w:spacing w:val="12"/>
          <w:sz w:val="32"/>
          <w:szCs w:val="32"/>
          <w:lang w:eastAsia="zh-CN"/>
        </w:rPr>
        <w:t>、绩效评价情况及评价结论</w:t>
      </w:r>
    </w:p>
    <w:p>
      <w:pPr>
        <w:pStyle w:val="3"/>
        <w:spacing w:before="0"/>
        <w:ind w:right="105" w:firstLine="599"/>
        <w:jc w:val="both"/>
        <w:rPr>
          <w:rFonts w:cs="仿宋_GB2312"/>
          <w:spacing w:val="-4"/>
          <w:sz w:val="32"/>
          <w:szCs w:val="32"/>
          <w:lang w:eastAsia="zh-CN"/>
        </w:rPr>
      </w:pPr>
      <w:r>
        <w:rPr>
          <w:rFonts w:cs="仿宋_GB2312"/>
          <w:spacing w:val="-4"/>
          <w:sz w:val="32"/>
          <w:szCs w:val="32"/>
          <w:lang w:eastAsia="zh-CN"/>
        </w:rPr>
        <w:t>专家组认为，项目承担单位全面完成绩效目标规定的任务， 基本实现了年度绩效指标，实施成效明显</w:t>
      </w:r>
      <w:r>
        <w:rPr>
          <w:rFonts w:hint="eastAsia" w:cs="仿宋_GB2312"/>
          <w:spacing w:val="-4"/>
          <w:sz w:val="32"/>
          <w:szCs w:val="32"/>
          <w:lang w:eastAsia="zh-CN"/>
        </w:rPr>
        <w:t>，</w:t>
      </w:r>
      <w:r>
        <w:rPr>
          <w:rFonts w:cs="仿宋_GB2312"/>
          <w:spacing w:val="-4"/>
          <w:sz w:val="32"/>
          <w:szCs w:val="32"/>
          <w:lang w:eastAsia="zh-CN"/>
        </w:rPr>
        <w:t>总体得分为</w:t>
      </w:r>
      <w:r>
        <w:rPr>
          <w:rFonts w:hint="eastAsia" w:cs="仿宋_GB2312"/>
          <w:spacing w:val="-4"/>
          <w:sz w:val="32"/>
          <w:szCs w:val="32"/>
          <w:lang w:eastAsia="zh-CN"/>
        </w:rPr>
        <w:t>100</w:t>
      </w:r>
      <w:r>
        <w:rPr>
          <w:rFonts w:cs="仿宋_GB2312"/>
          <w:spacing w:val="-4"/>
          <w:sz w:val="32"/>
          <w:szCs w:val="32"/>
          <w:lang w:eastAsia="zh-CN"/>
        </w:rPr>
        <w:t>分，绩效评价结果为“优”。</w:t>
      </w:r>
    </w:p>
    <w:p>
      <w:pPr>
        <w:pStyle w:val="3"/>
        <w:spacing w:before="0"/>
        <w:ind w:right="194" w:firstLine="602"/>
        <w:jc w:val="both"/>
        <w:rPr>
          <w:rFonts w:cs="仿宋_GB2312"/>
          <w:spacing w:val="-4"/>
          <w:sz w:val="32"/>
          <w:szCs w:val="32"/>
          <w:lang w:eastAsia="zh-CN"/>
        </w:rPr>
      </w:pPr>
      <w:r>
        <w:rPr>
          <w:rFonts w:ascii="楷体_GB2312" w:hAnsi="楷体_GB2312" w:eastAsia="楷体_GB2312" w:cs="楷体_GB2312"/>
          <w:b/>
          <w:bCs/>
          <w:spacing w:val="-4"/>
          <w:sz w:val="32"/>
          <w:szCs w:val="32"/>
          <w:lang w:eastAsia="zh-CN"/>
        </w:rPr>
        <w:t>（一）项目投入情况分析。</w:t>
      </w:r>
      <w:r>
        <w:rPr>
          <w:rFonts w:cs="仿宋_GB2312"/>
          <w:spacing w:val="-4"/>
          <w:sz w:val="32"/>
          <w:szCs w:val="32"/>
          <w:lang w:eastAsia="zh-CN"/>
        </w:rPr>
        <w:t>投入指标得分为</w:t>
      </w:r>
      <w:r>
        <w:rPr>
          <w:rFonts w:hint="eastAsia" w:cs="仿宋_GB2312"/>
          <w:spacing w:val="-4"/>
          <w:sz w:val="32"/>
          <w:szCs w:val="32"/>
          <w:lang w:eastAsia="zh-CN"/>
        </w:rPr>
        <w:t>20</w:t>
      </w:r>
      <w:r>
        <w:rPr>
          <w:rFonts w:cs="仿宋_GB2312"/>
          <w:spacing w:val="-4"/>
          <w:sz w:val="32"/>
          <w:szCs w:val="32"/>
          <w:lang w:eastAsia="zh-CN"/>
        </w:rPr>
        <w:t xml:space="preserve">分，得分率为 </w:t>
      </w:r>
      <w:r>
        <w:rPr>
          <w:rFonts w:hint="eastAsia" w:cs="仿宋_GB2312"/>
          <w:spacing w:val="-4"/>
          <w:sz w:val="32"/>
          <w:szCs w:val="32"/>
          <w:lang w:eastAsia="zh-CN"/>
        </w:rPr>
        <w:t>100</w:t>
      </w:r>
      <w:r>
        <w:rPr>
          <w:rFonts w:cs="仿宋_GB2312"/>
          <w:spacing w:val="-4"/>
          <w:sz w:val="32"/>
          <w:szCs w:val="32"/>
          <w:lang w:eastAsia="zh-CN"/>
        </w:rPr>
        <w:t>%。项目单位按照财政部要求的预算申报程序提交了项目可行性报告、项目申报书、项目支出预算明细表和项目绩效目标申报表，各项申报条件符合项目申报条件要求，预期产出符合正常业绩水平，但部分效益指标细化量化程度有待提高。</w:t>
      </w:r>
    </w:p>
    <w:p>
      <w:pPr>
        <w:pStyle w:val="3"/>
        <w:spacing w:before="0"/>
        <w:ind w:right="103" w:firstLine="602"/>
        <w:jc w:val="both"/>
        <w:rPr>
          <w:rFonts w:cs="仿宋_GB2312"/>
          <w:spacing w:val="-4"/>
          <w:sz w:val="32"/>
          <w:szCs w:val="32"/>
          <w:lang w:eastAsia="zh-CN"/>
        </w:rPr>
      </w:pPr>
      <w:r>
        <w:rPr>
          <w:rFonts w:ascii="楷体_GB2312" w:hAnsi="楷体_GB2312" w:eastAsia="楷体_GB2312" w:cs="楷体_GB2312"/>
          <w:b/>
          <w:bCs/>
          <w:spacing w:val="-4"/>
          <w:sz w:val="32"/>
          <w:szCs w:val="32"/>
          <w:lang w:eastAsia="zh-CN"/>
        </w:rPr>
        <w:t>（二）项目过程情况分析。</w:t>
      </w:r>
      <w:r>
        <w:rPr>
          <w:rFonts w:cs="仿宋_GB2312"/>
          <w:spacing w:val="-4"/>
          <w:sz w:val="32"/>
          <w:szCs w:val="32"/>
          <w:lang w:eastAsia="zh-CN"/>
        </w:rPr>
        <w:t>投入指标得分为</w:t>
      </w:r>
      <w:r>
        <w:rPr>
          <w:rFonts w:hint="eastAsia" w:cs="仿宋_GB2312"/>
          <w:spacing w:val="-4"/>
          <w:sz w:val="32"/>
          <w:szCs w:val="32"/>
          <w:lang w:eastAsia="zh-CN"/>
        </w:rPr>
        <w:t>25</w:t>
      </w:r>
      <w:r>
        <w:rPr>
          <w:rFonts w:cs="仿宋_GB2312"/>
          <w:spacing w:val="-4"/>
          <w:sz w:val="32"/>
          <w:szCs w:val="32"/>
          <w:lang w:eastAsia="zh-CN"/>
        </w:rPr>
        <w:t>分，得分率为</w:t>
      </w:r>
      <w:r>
        <w:rPr>
          <w:rFonts w:hint="eastAsia" w:cs="仿宋_GB2312"/>
          <w:spacing w:val="-4"/>
          <w:sz w:val="32"/>
          <w:szCs w:val="32"/>
          <w:lang w:eastAsia="zh-CN"/>
        </w:rPr>
        <w:t>100</w:t>
      </w:r>
      <w:r>
        <w:rPr>
          <w:rFonts w:cs="仿宋_GB2312"/>
          <w:spacing w:val="-4"/>
          <w:sz w:val="32"/>
          <w:szCs w:val="32"/>
          <w:lang w:eastAsia="zh-CN"/>
        </w:rPr>
        <w:t>%。从业务管理来看，项目管理制度较为健全，对项目顺利开展提供了有效保障。从资金管理来看，项目财务管理制度健全，执行中严把监督审核关，定期或不定期进行自查和检查，资金使用安全规范。</w:t>
      </w:r>
    </w:p>
    <w:p>
      <w:pPr>
        <w:ind w:firstLine="643" w:firstLineChars="200"/>
        <w:rPr>
          <w:rFonts w:ascii="仿宋_GB2312" w:hAnsi="华文中宋" w:eastAsia="仿宋_GB2312"/>
          <w:b/>
          <w:sz w:val="32"/>
          <w:szCs w:val="32"/>
        </w:rPr>
      </w:pPr>
      <w:r>
        <w:rPr>
          <w:rFonts w:hint="eastAsia" w:ascii="仿宋_GB2312" w:hAnsi="华文中宋" w:eastAsia="仿宋_GB2312"/>
          <w:b/>
          <w:sz w:val="32"/>
          <w:szCs w:val="32"/>
          <w:lang w:eastAsia="zh-CN"/>
        </w:rPr>
        <w:t>六</w:t>
      </w:r>
      <w:r>
        <w:rPr>
          <w:rFonts w:hint="eastAsia" w:ascii="仿宋_GB2312" w:hAnsi="华文中宋" w:eastAsia="仿宋_GB2312"/>
          <w:b/>
          <w:sz w:val="32"/>
          <w:szCs w:val="32"/>
        </w:rPr>
        <w:t>、项目实施的效益</w:t>
      </w:r>
    </w:p>
    <w:p>
      <w:pPr>
        <w:ind w:firstLine="645"/>
        <w:rPr>
          <w:rFonts w:ascii="仿宋_GB2312" w:hAnsi="华文中宋" w:eastAsia="仿宋_GB2312"/>
          <w:sz w:val="32"/>
          <w:szCs w:val="32"/>
        </w:rPr>
      </w:pPr>
      <w:r>
        <w:rPr>
          <w:rFonts w:hint="eastAsia" w:ascii="仿宋_GB2312" w:hAnsi="华文中宋" w:eastAsia="仿宋_GB2312"/>
          <w:sz w:val="32"/>
          <w:szCs w:val="32"/>
        </w:rPr>
        <w:t>通过本项目的实施，将加大基本口粮田的建设力度，加强退耕区农村能源建设，在尊重群众意愿的基础上，继续实施生态移民工程。对退耕农户地区优势产业发展给予必要的扶持，并且对退耕农民进行实用技术和职业教育培训。同时，还对退耕工程造林地进行补植补造，这些规划措施将从根本上解决退耕农户吃饭、烧柴、增收等当前和长远生活问题，确保退耕农户长远生计得到有效的解决。</w:t>
      </w:r>
    </w:p>
    <w:p>
      <w:pPr>
        <w:ind w:firstLine="643" w:firstLineChars="200"/>
        <w:rPr>
          <w:rFonts w:ascii="仿宋_GB2312" w:eastAsia="仿宋_GB2312"/>
          <w:b/>
          <w:sz w:val="32"/>
          <w:szCs w:val="32"/>
        </w:rPr>
      </w:pPr>
      <w:r>
        <w:rPr>
          <w:rFonts w:hint="eastAsia" w:ascii="仿宋_GB2312" w:eastAsia="仿宋_GB2312"/>
          <w:b/>
          <w:sz w:val="32"/>
          <w:szCs w:val="32"/>
        </w:rPr>
        <w:t>生态效益</w:t>
      </w:r>
    </w:p>
    <w:p>
      <w:pPr>
        <w:ind w:firstLine="643" w:firstLineChars="200"/>
        <w:rPr>
          <w:rFonts w:ascii="仿宋_GB2312" w:eastAsia="仿宋_GB2312"/>
          <w:sz w:val="32"/>
          <w:szCs w:val="32"/>
        </w:rPr>
      </w:pPr>
      <w:r>
        <w:rPr>
          <w:rFonts w:hint="eastAsia" w:ascii="仿宋_GB2312" w:eastAsia="仿宋_GB2312"/>
          <w:b/>
          <w:sz w:val="32"/>
          <w:szCs w:val="32"/>
        </w:rPr>
        <w:t>一是保持水土。</w:t>
      </w:r>
      <w:r>
        <w:rPr>
          <w:rFonts w:hint="eastAsia" w:ascii="仿宋_GB2312" w:eastAsia="仿宋_GB2312"/>
          <w:sz w:val="32"/>
          <w:szCs w:val="32"/>
        </w:rPr>
        <w:t>平川区东部几个乡镇为干旱山区，地质结构及流域情况复杂，大多为黄土层或碎砂砾石层覆盖，水土流失严重，项目区每年向黄河输入大量泥沙。本项目坡耕地改梯田、沙化耕地改良等措施的实施将对减少水土流失、防洪抗旱具有重要意义。</w:t>
      </w:r>
      <w:r>
        <w:rPr>
          <w:rFonts w:hint="eastAsia" w:ascii="仿宋_GB2312" w:eastAsia="仿宋_GB2312"/>
          <w:sz w:val="32"/>
          <w:szCs w:val="32"/>
        </w:rPr>
        <w:cr/>
      </w:r>
      <w:r>
        <w:rPr>
          <w:rFonts w:hint="eastAsia" w:ascii="仿宋_GB2312" w:eastAsia="仿宋_GB2312"/>
          <w:sz w:val="32"/>
          <w:szCs w:val="32"/>
        </w:rPr>
        <w:t xml:space="preserve">   </w:t>
      </w:r>
      <w:r>
        <w:rPr>
          <w:rFonts w:hint="eastAsia" w:ascii="仿宋_GB2312" w:eastAsia="仿宋_GB2312"/>
          <w:b/>
          <w:sz w:val="32"/>
          <w:szCs w:val="32"/>
        </w:rPr>
        <w:t>二是保护植被</w:t>
      </w:r>
      <w:r>
        <w:rPr>
          <w:rFonts w:hint="eastAsia" w:ascii="仿宋_GB2312" w:eastAsia="仿宋_GB2312"/>
          <w:sz w:val="32"/>
          <w:szCs w:val="32"/>
        </w:rPr>
        <w:t>。项目完成后可有效减轻因农村生活用能缺乏而对植被的破坏，从而获得生态效益。在农村四口之家购置一座太阳能热水器，就可以基本满足做饭和基本洗刷用水的需要，这将大大减轻农民伐薪对植被的破坏。</w:t>
      </w:r>
    </w:p>
    <w:p>
      <w:pPr>
        <w:ind w:firstLine="643" w:firstLineChars="200"/>
        <w:rPr>
          <w:rFonts w:ascii="仿宋_GB2312" w:eastAsia="仿宋_GB2312"/>
          <w:b/>
          <w:sz w:val="32"/>
          <w:szCs w:val="32"/>
        </w:rPr>
      </w:pPr>
      <w:r>
        <w:rPr>
          <w:rFonts w:hint="eastAsia" w:ascii="仿宋_GB2312" w:eastAsia="仿宋_GB2312"/>
          <w:b/>
          <w:sz w:val="32"/>
          <w:szCs w:val="32"/>
        </w:rPr>
        <w:t>三是改善生态环境。</w:t>
      </w:r>
      <w:r>
        <w:rPr>
          <w:rFonts w:hint="eastAsia" w:ascii="仿宋_GB2312" w:eastAsia="仿宋_GB2312"/>
          <w:sz w:val="32"/>
          <w:szCs w:val="32"/>
        </w:rPr>
        <w:t>生态移民可解决贫困农户的生活、生产问题，促进迁出区植被的恢复和安置区的绿化，增强森林涵养水源和防风固沙的能力，可有效遏制土地退化，增加植被覆盖度，减少裸露土地面积，促进平川退耕还林区生态移民迁出区生态系统的良性发展，这将对工程区的生态恢复和保护产生非常积极的作用。</w:t>
      </w:r>
      <w:r>
        <w:rPr>
          <w:rFonts w:hint="eastAsia" w:ascii="仿宋_GB2312" w:eastAsia="仿宋_GB2312"/>
          <w:sz w:val="32"/>
          <w:szCs w:val="32"/>
        </w:rPr>
        <w:cr/>
      </w:r>
      <w:r>
        <w:rPr>
          <w:rFonts w:hint="eastAsia" w:ascii="仿宋_GB2312" w:eastAsia="仿宋_GB2312"/>
          <w:sz w:val="32"/>
          <w:szCs w:val="32"/>
        </w:rPr>
        <w:t xml:space="preserve"> </w:t>
      </w:r>
      <w:r>
        <w:rPr>
          <w:rFonts w:hint="eastAsia" w:ascii="仿宋_GB2312" w:eastAsia="仿宋_GB2312"/>
          <w:b/>
          <w:sz w:val="32"/>
          <w:szCs w:val="32"/>
        </w:rPr>
        <w:t xml:space="preserve">   社会效益</w:t>
      </w:r>
    </w:p>
    <w:p>
      <w:pPr>
        <w:ind w:firstLine="643" w:firstLineChars="200"/>
        <w:rPr>
          <w:rFonts w:ascii="仿宋_GB2312" w:eastAsia="仿宋_GB2312"/>
          <w:sz w:val="32"/>
          <w:szCs w:val="32"/>
        </w:rPr>
      </w:pPr>
      <w:r>
        <w:rPr>
          <w:rFonts w:hint="eastAsia" w:ascii="仿宋_GB2312" w:eastAsia="仿宋_GB2312"/>
          <w:b/>
          <w:sz w:val="32"/>
          <w:szCs w:val="32"/>
        </w:rPr>
        <w:t>一是提高农业综合生产力。</w:t>
      </w:r>
      <w:r>
        <w:rPr>
          <w:rFonts w:hint="eastAsia" w:ascii="仿宋_GB2312" w:eastAsia="仿宋_GB2312"/>
          <w:sz w:val="32"/>
          <w:szCs w:val="32"/>
        </w:rPr>
        <w:t>项目实施后，退耕区农业生产条件将得到有效改善，农业基础设施加强，抵御自然灾害的能力提升，地力等级提高，不仅可增加粮食产量，而且为农业产业结构的调整和加快农业产业化步伐提供良好的条件，从而对发展地方经济，增加农民收入，解决退耕户的生计问题。</w:t>
      </w:r>
    </w:p>
    <w:p>
      <w:pPr>
        <w:ind w:firstLine="643" w:firstLineChars="200"/>
        <w:rPr>
          <w:rFonts w:ascii="仿宋_GB2312" w:eastAsia="仿宋_GB2312"/>
          <w:sz w:val="32"/>
          <w:szCs w:val="32"/>
        </w:rPr>
      </w:pPr>
      <w:r>
        <w:rPr>
          <w:rFonts w:hint="eastAsia" w:ascii="仿宋_GB2312" w:eastAsia="仿宋_GB2312"/>
          <w:b/>
          <w:sz w:val="32"/>
          <w:szCs w:val="32"/>
        </w:rPr>
        <w:t>二是促进和谐社会的建设。</w:t>
      </w:r>
      <w:r>
        <w:rPr>
          <w:rFonts w:hint="eastAsia" w:ascii="仿宋_GB2312" w:eastAsia="仿宋_GB2312"/>
          <w:sz w:val="32"/>
          <w:szCs w:val="32"/>
        </w:rPr>
        <w:t>项目实施后，通过基本农田建设及生态移民等措施，增加退耕农户收入，减小贫困面，同时引导广大退耕农民走种植、养殖和务工相结合的发展之路，另外通过项目的实施，整合资源优势，提高项目区退耕还林成果的巩固水平，加快项目区向小康社会迈进的步伐，促进和谐社会的发展，为生态文明、社会文明和经济建设做出贡献。</w:t>
      </w:r>
    </w:p>
    <w:p>
      <w:pPr>
        <w:ind w:firstLine="643" w:firstLineChars="200"/>
        <w:rPr>
          <w:rFonts w:ascii="仿宋_GB2312" w:eastAsia="仿宋_GB2312"/>
          <w:sz w:val="32"/>
          <w:szCs w:val="32"/>
        </w:rPr>
      </w:pPr>
      <w:r>
        <w:rPr>
          <w:rFonts w:hint="eastAsia" w:ascii="仿宋_GB2312" w:eastAsia="仿宋_GB2312"/>
          <w:b/>
          <w:sz w:val="32"/>
          <w:szCs w:val="32"/>
        </w:rPr>
        <w:t>三是优化产业结构。</w:t>
      </w:r>
      <w:r>
        <w:rPr>
          <w:rFonts w:hint="eastAsia" w:ascii="仿宋_GB2312" w:eastAsia="仿宋_GB2312"/>
          <w:sz w:val="32"/>
          <w:szCs w:val="32"/>
        </w:rPr>
        <w:t>项目的实施对加快全区农业产业化进程，推动工业化和城镇化建设步伐，促进农业和农村经济战略性结构调整，优化资源配置，推动农村经济快速发展具有重要的意义。</w:t>
      </w:r>
    </w:p>
    <w:p>
      <w:pPr>
        <w:ind w:firstLine="643" w:firstLineChars="200"/>
        <w:rPr>
          <w:rFonts w:ascii="仿宋_GB2312" w:eastAsia="仿宋_GB2312"/>
          <w:b/>
          <w:sz w:val="32"/>
          <w:szCs w:val="32"/>
        </w:rPr>
      </w:pPr>
      <w:r>
        <w:rPr>
          <w:rFonts w:hint="eastAsia" w:ascii="仿宋_GB2312" w:eastAsia="仿宋_GB2312"/>
          <w:b/>
          <w:sz w:val="32"/>
          <w:szCs w:val="32"/>
        </w:rPr>
        <w:t>四是改善人居环境。</w:t>
      </w:r>
      <w:r>
        <w:rPr>
          <w:rFonts w:hint="eastAsia" w:ascii="仿宋_GB2312" w:eastAsia="仿宋_GB2312"/>
          <w:sz w:val="32"/>
          <w:szCs w:val="32"/>
        </w:rPr>
        <w:t>农村能源建设和其他各产业的发展，特别是沼气池建设模式，使粮食和农作物秸秆得到合理利用，可拉动养殖业、种植业，促进农业产业化及农村循环经济的发展，增加农民收入。畜禽粪便通过沼气池处理，减少环境污染，变成优质有机肥施入农田，生产无公害粮食和水果蔬菜，产生较大的联动效益。同时，产生沼气又是清洁高效能源，用来点灯、做饭，减少直接利用农作物秸秆和畜粪造成的资源浪费和对居住环境的污染，从而有效改善退耕户的生产生活条件。</w:t>
      </w:r>
      <w:r>
        <w:rPr>
          <w:rFonts w:hint="eastAsia" w:ascii="仿宋_GB2312" w:eastAsia="仿宋_GB2312"/>
          <w:sz w:val="32"/>
          <w:szCs w:val="32"/>
        </w:rPr>
        <w:cr/>
      </w:r>
      <w:r>
        <w:rPr>
          <w:rFonts w:hint="eastAsia" w:ascii="仿宋_GB2312" w:eastAsia="仿宋_GB2312"/>
          <w:sz w:val="32"/>
          <w:szCs w:val="32"/>
        </w:rPr>
        <w:t xml:space="preserve">    </w:t>
      </w:r>
      <w:r>
        <w:rPr>
          <w:rFonts w:hint="eastAsia" w:ascii="仿宋_GB2312" w:eastAsia="仿宋_GB2312"/>
          <w:b/>
          <w:sz w:val="32"/>
          <w:szCs w:val="32"/>
        </w:rPr>
        <w:t>经济效益</w:t>
      </w:r>
      <w:r>
        <w:rPr>
          <w:rFonts w:hint="eastAsia" w:ascii="仿宋_GB2312" w:eastAsia="仿宋_GB2312"/>
          <w:b/>
          <w:sz w:val="32"/>
          <w:szCs w:val="32"/>
        </w:rPr>
        <w:cr/>
      </w:r>
      <w:r>
        <w:rPr>
          <w:rFonts w:hint="eastAsia" w:ascii="仿宋_GB2312" w:eastAsia="仿宋_GB2312"/>
          <w:sz w:val="32"/>
          <w:szCs w:val="32"/>
        </w:rPr>
        <w:t xml:space="preserve">    项目的实施增加农民收入，提高农民的生活水平，加快农村脱贫致富奔小康的步伐，具有非常显著的经济效益。2015年巩固退耕还林成果项目工程实施后，年可产生直接经济效益313.45万元，退耕农户人均纯收入增加236元。</w:t>
      </w:r>
      <w:r>
        <w:rPr>
          <w:rFonts w:hint="eastAsia" w:ascii="仿宋_GB2312" w:eastAsia="仿宋_GB2312"/>
          <w:sz w:val="32"/>
          <w:szCs w:val="32"/>
        </w:rPr>
        <w:cr/>
      </w:r>
      <w:r>
        <w:rPr>
          <w:rFonts w:hint="eastAsia" w:ascii="仿宋_GB2312" w:eastAsia="仿宋_GB2312"/>
          <w:sz w:val="32"/>
          <w:szCs w:val="32"/>
        </w:rPr>
        <w:t xml:space="preserve">    </w:t>
      </w:r>
      <w:r>
        <w:rPr>
          <w:rFonts w:hint="eastAsia" w:ascii="仿宋_GB2312" w:eastAsia="仿宋_GB2312"/>
          <w:b/>
          <w:sz w:val="32"/>
          <w:szCs w:val="32"/>
        </w:rPr>
        <w:t>一是粮食增产效益。</w:t>
      </w:r>
      <w:r>
        <w:rPr>
          <w:rFonts w:hint="eastAsia" w:ascii="仿宋_GB2312" w:eastAsia="仿宋_GB2312"/>
          <w:sz w:val="32"/>
          <w:szCs w:val="32"/>
        </w:rPr>
        <w:t>通过本项目实施，可在项目区发展基本口粮田6778亩，农田水利发展灌溉面积3383亩，根据平川不同类型耕地单产情况测算，项目建成稳产后，可增产粮食90万kg，按现行市场价每2.0元/kg计算，年直接效益180万元。</w:t>
      </w:r>
      <w:r>
        <w:rPr>
          <w:rFonts w:hint="eastAsia" w:ascii="仿宋_GB2312" w:eastAsia="仿宋_GB2312"/>
          <w:sz w:val="32"/>
          <w:szCs w:val="32"/>
        </w:rPr>
        <w:cr/>
      </w:r>
      <w:r>
        <w:rPr>
          <w:rFonts w:hint="eastAsia" w:ascii="仿宋_GB2312" w:eastAsia="仿宋_GB2312"/>
          <w:sz w:val="32"/>
          <w:szCs w:val="32"/>
        </w:rPr>
        <w:t xml:space="preserve">   </w:t>
      </w:r>
      <w:r>
        <w:rPr>
          <w:rFonts w:hint="eastAsia" w:ascii="仿宋_GB2312" w:eastAsia="仿宋_GB2312"/>
          <w:b/>
          <w:sz w:val="32"/>
          <w:szCs w:val="32"/>
        </w:rPr>
        <w:t xml:space="preserve"> 二是节能效益。</w:t>
      </w:r>
      <w:r>
        <w:rPr>
          <w:rFonts w:hint="eastAsia" w:ascii="仿宋_GB2312" w:eastAsia="仿宋_GB2312"/>
          <w:sz w:val="32"/>
          <w:szCs w:val="32"/>
        </w:rPr>
        <w:t>农村能源项目完成后，每年可取得经济效益15.91万元。太阳能热水器每户每年可节约能源开支1170元，每年可实现经济效益15.91万元。</w:t>
      </w:r>
      <w:r>
        <w:rPr>
          <w:rFonts w:hint="eastAsia" w:ascii="仿宋_GB2312" w:eastAsia="仿宋_GB2312"/>
          <w:b/>
          <w:sz w:val="32"/>
          <w:szCs w:val="32"/>
        </w:rPr>
        <w:t xml:space="preserve"> </w:t>
      </w:r>
    </w:p>
    <w:p>
      <w:pPr>
        <w:ind w:firstLine="643" w:firstLineChars="200"/>
        <w:rPr>
          <w:rFonts w:ascii="仿宋_GB2312" w:eastAsia="仿宋_GB2312"/>
          <w:sz w:val="32"/>
          <w:szCs w:val="32"/>
        </w:rPr>
      </w:pPr>
      <w:r>
        <w:rPr>
          <w:rFonts w:hint="eastAsia" w:ascii="仿宋_GB2312" w:eastAsia="仿宋_GB2312"/>
          <w:b/>
          <w:sz w:val="32"/>
          <w:szCs w:val="32"/>
        </w:rPr>
        <w:t>三是后续产业发展效益</w:t>
      </w:r>
      <w:r>
        <w:rPr>
          <w:rFonts w:hint="eastAsia" w:ascii="仿宋_GB2312" w:eastAsia="仿宋_GB2312"/>
          <w:sz w:val="32"/>
          <w:szCs w:val="32"/>
        </w:rPr>
        <w:t>。项目实施后，新增林产品基地1890亩，经估算可实现年利润37.8万元。新增农产品基地3987亩，经估算可实现年利润79.74万元。</w:t>
      </w:r>
    </w:p>
    <w:p>
      <w:pPr>
        <w:pStyle w:val="3"/>
        <w:spacing w:before="0"/>
        <w:ind w:right="102" w:firstLine="602"/>
        <w:jc w:val="both"/>
        <w:rPr>
          <w:rFonts w:hint="eastAsia" w:cs="仿宋_GB2312"/>
          <w:spacing w:val="-4"/>
          <w:sz w:val="32"/>
          <w:szCs w:val="32"/>
          <w:lang w:eastAsia="zh-CN"/>
        </w:rPr>
      </w:pPr>
    </w:p>
    <w:p>
      <w:pPr>
        <w:pStyle w:val="3"/>
        <w:spacing w:before="0"/>
        <w:ind w:right="102" w:firstLine="602"/>
        <w:jc w:val="both"/>
        <w:rPr>
          <w:rFonts w:hint="eastAsia" w:cs="仿宋_GB2312"/>
          <w:spacing w:val="-4"/>
          <w:sz w:val="32"/>
          <w:szCs w:val="32"/>
          <w:lang w:eastAsia="zh-CN"/>
        </w:rPr>
      </w:pPr>
    </w:p>
    <w:p>
      <w:pPr>
        <w:pStyle w:val="3"/>
        <w:spacing w:before="0"/>
        <w:ind w:right="102" w:firstLine="602"/>
        <w:jc w:val="both"/>
        <w:rPr>
          <w:rFonts w:hint="eastAsia" w:cs="仿宋_GB2312"/>
          <w:spacing w:val="-4"/>
          <w:sz w:val="32"/>
          <w:szCs w:val="32"/>
          <w:lang w:eastAsia="zh-CN"/>
        </w:rPr>
      </w:pPr>
    </w:p>
    <w:p>
      <w:pPr>
        <w:pStyle w:val="3"/>
        <w:spacing w:before="0"/>
        <w:ind w:right="102" w:firstLine="602"/>
        <w:jc w:val="both"/>
        <w:rPr>
          <w:rFonts w:hint="eastAsia" w:cs="仿宋_GB2312"/>
          <w:spacing w:val="-4"/>
          <w:sz w:val="32"/>
          <w:szCs w:val="32"/>
          <w:lang w:eastAsia="zh-CN"/>
        </w:rPr>
      </w:pPr>
    </w:p>
    <w:p>
      <w:pPr>
        <w:pStyle w:val="3"/>
        <w:spacing w:before="0"/>
        <w:ind w:right="102" w:firstLine="602"/>
        <w:jc w:val="both"/>
        <w:rPr>
          <w:rFonts w:hint="eastAsia" w:cs="仿宋_GB2312"/>
          <w:spacing w:val="-4"/>
          <w:sz w:val="32"/>
          <w:szCs w:val="32"/>
          <w:lang w:eastAsia="zh-CN"/>
        </w:rPr>
      </w:pPr>
    </w:p>
    <w:p>
      <w:pPr>
        <w:pStyle w:val="3"/>
        <w:spacing w:before="0"/>
        <w:ind w:right="102" w:firstLine="602"/>
        <w:jc w:val="both"/>
        <w:rPr>
          <w:rFonts w:hint="eastAsia" w:cs="仿宋_GB2312"/>
          <w:spacing w:val="-4"/>
          <w:sz w:val="32"/>
          <w:szCs w:val="32"/>
          <w:lang w:eastAsia="zh-CN"/>
        </w:rPr>
      </w:pPr>
    </w:p>
    <w:p>
      <w:pPr>
        <w:pStyle w:val="3"/>
        <w:spacing w:before="0"/>
        <w:ind w:right="102" w:firstLine="602"/>
        <w:jc w:val="both"/>
        <w:rPr>
          <w:rFonts w:hint="eastAsia" w:cs="仿宋_GB2312"/>
          <w:spacing w:val="-4"/>
          <w:sz w:val="32"/>
          <w:szCs w:val="32"/>
          <w:lang w:eastAsia="zh-CN"/>
        </w:rPr>
      </w:pPr>
    </w:p>
    <w:p>
      <w:pPr>
        <w:pStyle w:val="3"/>
        <w:spacing w:before="0"/>
        <w:ind w:right="102" w:firstLine="602"/>
        <w:jc w:val="both"/>
        <w:rPr>
          <w:rFonts w:hint="eastAsia" w:cs="仿宋_GB2312"/>
          <w:spacing w:val="-4"/>
          <w:sz w:val="32"/>
          <w:szCs w:val="32"/>
          <w:lang w:eastAsia="zh-CN"/>
        </w:rPr>
      </w:pPr>
    </w:p>
    <w:p>
      <w:pPr>
        <w:pStyle w:val="3"/>
        <w:spacing w:before="0"/>
        <w:ind w:right="102" w:firstLine="602"/>
        <w:jc w:val="both"/>
        <w:rPr>
          <w:rFonts w:hint="eastAsia" w:cs="仿宋_GB2312"/>
          <w:spacing w:val="-4"/>
          <w:sz w:val="32"/>
          <w:szCs w:val="32"/>
          <w:lang w:eastAsia="zh-CN"/>
        </w:rPr>
      </w:pPr>
    </w:p>
    <w:p>
      <w:pPr>
        <w:pStyle w:val="3"/>
        <w:spacing w:before="0"/>
        <w:ind w:right="216" w:firstLine="602"/>
        <w:jc w:val="both"/>
        <w:rPr>
          <w:rFonts w:cs="仿宋_GB2312"/>
          <w:spacing w:val="-4"/>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3703955</wp:posOffset>
              </wp:positionH>
              <wp:positionV relativeFrom="page">
                <wp:posOffset>10233660</wp:posOffset>
              </wp:positionV>
              <wp:extent cx="152400" cy="127000"/>
              <wp:effectExtent l="0" t="3810" r="1270" b="254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52400" cy="127000"/>
                      </a:xfrm>
                      <a:prstGeom prst="rect">
                        <a:avLst/>
                      </a:prstGeom>
                      <a:noFill/>
                      <a:ln>
                        <a:noFill/>
                      </a:ln>
                    </wps:spPr>
                    <wps:txbx>
                      <w:txbxContent>
                        <w:p>
                          <w:pPr>
                            <w:spacing w:line="180" w:lineRule="exact"/>
                            <w:ind w:left="40"/>
                            <w:rPr>
                              <w:rFonts w:ascii="宋体" w:hAnsi="宋体" w:eastAsia="宋体" w:cs="宋体"/>
                              <w:sz w:val="16"/>
                              <w:szCs w:val="16"/>
                            </w:rPr>
                          </w:pPr>
                          <w:r>
                            <w:fldChar w:fldCharType="begin"/>
                          </w:r>
                          <w:r>
                            <w:rPr>
                              <w:rFonts w:ascii="宋体"/>
                              <w:sz w:val="16"/>
                            </w:rPr>
                            <w:instrText xml:space="preserve"> PAGE </w:instrText>
                          </w:r>
                          <w:r>
                            <w:fldChar w:fldCharType="separate"/>
                          </w:r>
                          <w:r>
                            <w:rPr>
                              <w:rFonts w:ascii="宋体"/>
                              <w:sz w:val="16"/>
                            </w:rPr>
                            <w:t>2</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1.65pt;margin-top:805.8pt;height:10pt;width:12pt;mso-position-horizontal-relative:page;mso-position-vertical-relative:page;z-index:-251657216;mso-width-relative:page;mso-height-relative:page;" filled="f" stroked="f" coordsize="21600,21600" o:gfxdata="UEsDBAoAAAAAAIdO4kAAAAAAAAAAAAAAAAAEAAAAZHJzL1BLAwQUAAAACACHTuJAZpn5ctkAAAAN&#10;AQAADwAAAGRycy9kb3ducmV2LnhtbE2PzU7DMBCE70i8g7VI3KgdIkybxqkQghMSIg0Hjk7sJlbj&#10;dYjdH96e7QmO+81odqbcnP3IjnaOLqCCbCGAWeyCcdgr+Gxe75bAYtJo9BjQKvixETbV9VWpCxNO&#10;WNvjNvWMQjAWWsGQ0lRwHrvBeh0XYbJI2i7MXic6556bWZ8o3I/8XgjJvXZIHwY92efBdvvtwSt4&#10;+sL6xX2/tx/1rnZNsxL4JvdK3d5kYg0s2XP6M8OlPlWHijq14YAmslHBwzLPyUqCzDIJjCxSPBJq&#10;LygnxKuS/19R/QJQSwMEFAAAAAgAh07iQMftdevtAQAAtgMAAA4AAABkcnMvZTJvRG9jLnhtbK1T&#10;S47UMBDdI3EHy3s66RY/RZ0eDTMahDR8pJk5gOPYiUXiMmV3J80B4AasZsOec/U5KDudZoAdYmNV&#10;XOVXr169rM/GvmM7hd6ALflykXOmrITa2Kbkd7dXT15y5oOwtejAqpLvlednm8eP1oMr1Apa6GqF&#10;jECsLwZX8jYEV2SZl63qhV+AU5aSGrAXgT6xyWoUA6H3XbbK8+fZAFg7BKm8p9vLKck3CV9rJcN7&#10;rb0KrCs5cQvpxHRW8cw2a1E0KFxr5JGG+AcWvTCWmp6gLkUQbIvmL6jeSAQPOiwk9BlobaRKM9A0&#10;y/yPaW5a4VSahcTx7iST/3+w8t3uAzJT0+44s6KnFR2+fT3c/zh8/8KWUZ7B+YKqbhzVhfEVjLE0&#10;jurdNciPnlm4aIVt1DkiDK0SNdFLL7MHTyccH0Gq4S3U1EdsAySgUWMfAUkNRui0pv1pNWoMTMaW&#10;z1ZPc8pISi1XL3KKiVsmivmxQx9eK+hZDEqOtPkELnbXPkylc0nsZeHKdF3afmd/uyDMeJPIR74T&#10;8zBW41GMCuo9jYEwmYnMT0EL+JmzgYxUcv9pK1Bx1r2xJEV03RzgHFRzIKykpyUPnE3hRZjcuXVo&#10;mpaQJ7EtnJNc2qRRoq4TiyNPMkcS42jk6L6H36nq1++2+Q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mmfly2QAAAA0BAAAPAAAAAAAAAAEAIAAAACIAAABkcnMvZG93bnJldi54bWxQSwECFAAUAAAA&#10;CACHTuJAx+116+0BAAC2AwAADgAAAAAAAAABACAAAAAoAQAAZHJzL2Uyb0RvYy54bWxQSwUGAAAA&#10;AAYABgBZAQAAhwUAAAAA&#10;">
              <v:fill on="f" focussize="0,0"/>
              <v:stroke on="f"/>
              <v:imagedata o:title=""/>
              <o:lock v:ext="edit" aspectratio="f"/>
              <v:textbox inset="0mm,0mm,0mm,0mm">
                <w:txbxContent>
                  <w:p>
                    <w:pPr>
                      <w:spacing w:line="180" w:lineRule="exact"/>
                      <w:ind w:left="40"/>
                      <w:rPr>
                        <w:rFonts w:ascii="宋体" w:hAnsi="宋体" w:eastAsia="宋体" w:cs="宋体"/>
                        <w:sz w:val="16"/>
                        <w:szCs w:val="16"/>
                      </w:rPr>
                    </w:pPr>
                    <w:r>
                      <w:fldChar w:fldCharType="begin"/>
                    </w:r>
                    <w:r>
                      <w:rPr>
                        <w:rFonts w:ascii="宋体"/>
                        <w:sz w:val="16"/>
                      </w:rPr>
                      <w:instrText xml:space="preserve"> PAGE </w:instrText>
                    </w:r>
                    <w:r>
                      <w:fldChar w:fldCharType="separate"/>
                    </w:r>
                    <w:r>
                      <w:rPr>
                        <w:rFonts w:ascii="宋体"/>
                        <w:sz w:val="16"/>
                      </w:rP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3C"/>
    <w:rsid w:val="000A623C"/>
    <w:rsid w:val="000A6484"/>
    <w:rsid w:val="000B29C4"/>
    <w:rsid w:val="00156D07"/>
    <w:rsid w:val="003A0D23"/>
    <w:rsid w:val="005D74D1"/>
    <w:rsid w:val="006B5655"/>
    <w:rsid w:val="00783C6D"/>
    <w:rsid w:val="007B40E8"/>
    <w:rsid w:val="00903786"/>
    <w:rsid w:val="00AC3ED0"/>
    <w:rsid w:val="00B03494"/>
    <w:rsid w:val="00B274DF"/>
    <w:rsid w:val="00C54144"/>
    <w:rsid w:val="00D5320C"/>
    <w:rsid w:val="00D738AB"/>
    <w:rsid w:val="00DF5DA3"/>
    <w:rsid w:val="00F71FFD"/>
    <w:rsid w:val="05A7037E"/>
    <w:rsid w:val="373D7BFB"/>
    <w:rsid w:val="54941848"/>
    <w:rsid w:val="6BDA7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3"/>
    <w:basedOn w:val="1"/>
    <w:next w:val="1"/>
    <w:link w:val="8"/>
    <w:qFormat/>
    <w:uiPriority w:val="1"/>
    <w:pPr>
      <w:spacing w:before="42"/>
      <w:ind w:left="722"/>
      <w:outlineLvl w:val="2"/>
    </w:pPr>
    <w:rPr>
      <w:rFonts w:ascii="楷体_GB2312" w:hAnsi="楷体_GB2312" w:eastAsia="楷体_GB2312"/>
      <w:b/>
      <w:bCs/>
      <w:sz w:val="30"/>
      <w:szCs w:val="30"/>
    </w:rPr>
  </w:style>
  <w:style w:type="character" w:default="1" w:styleId="7">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link w:val="9"/>
    <w:qFormat/>
    <w:uiPriority w:val="1"/>
    <w:pPr>
      <w:spacing w:before="48"/>
      <w:ind w:left="120"/>
    </w:pPr>
    <w:rPr>
      <w:rFonts w:ascii="仿宋_GB2312" w:hAnsi="仿宋_GB2312" w:eastAsia="仿宋_GB2312"/>
      <w:sz w:val="30"/>
      <w:szCs w:val="30"/>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3 Char"/>
    <w:basedOn w:val="7"/>
    <w:link w:val="2"/>
    <w:qFormat/>
    <w:uiPriority w:val="1"/>
    <w:rPr>
      <w:rFonts w:ascii="楷体_GB2312" w:hAnsi="楷体_GB2312" w:eastAsia="楷体_GB2312"/>
      <w:b/>
      <w:bCs/>
      <w:kern w:val="0"/>
      <w:sz w:val="30"/>
      <w:szCs w:val="30"/>
      <w:lang w:eastAsia="en-US"/>
    </w:rPr>
  </w:style>
  <w:style w:type="character" w:customStyle="1" w:styleId="9">
    <w:name w:val="正文文本 Char"/>
    <w:basedOn w:val="7"/>
    <w:link w:val="3"/>
    <w:qFormat/>
    <w:uiPriority w:val="1"/>
    <w:rPr>
      <w:rFonts w:ascii="仿宋_GB2312" w:hAnsi="仿宋_GB2312" w:eastAsia="仿宋_GB2312"/>
      <w:kern w:val="0"/>
      <w:sz w:val="30"/>
      <w:szCs w:val="30"/>
      <w:lang w:eastAsia="en-US"/>
    </w:rPr>
  </w:style>
  <w:style w:type="character" w:customStyle="1" w:styleId="10">
    <w:name w:val="页眉 Char"/>
    <w:basedOn w:val="7"/>
    <w:link w:val="5"/>
    <w:qFormat/>
    <w:uiPriority w:val="99"/>
    <w:rPr>
      <w:sz w:val="18"/>
      <w:szCs w:val="18"/>
      <w:lang w:eastAsia="en-US"/>
    </w:rPr>
  </w:style>
  <w:style w:type="character" w:customStyle="1" w:styleId="11">
    <w:name w:val="页脚 Char"/>
    <w:basedOn w:val="7"/>
    <w:link w:val="4"/>
    <w:qFormat/>
    <w:uiPriority w:val="99"/>
    <w:rPr>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404</Words>
  <Characters>2303</Characters>
  <Lines>19</Lines>
  <Paragraphs>5</Paragraphs>
  <TotalTime>8</TotalTime>
  <ScaleCrop>false</ScaleCrop>
  <LinksUpToDate>false</LinksUpToDate>
  <CharactersWithSpaces>2702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2018-09-10T07:57:00Z</dcterms:created>
  <dc:creator>lenovo</dc:creator>
  <cp:lastModifiedBy>荣水</cp:lastModifiedBy>
  <dcterms:modified xsi:type="dcterms:W3CDTF">2019-09-09T09:09:17Z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