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3B" w:rsidRDefault="007C783B" w:rsidP="007C783B">
      <w:pPr>
        <w:pStyle w:val="a5"/>
        <w:shd w:val="clear" w:color="auto" w:fill="FFFFFF"/>
        <w:spacing w:before="225" w:beforeAutospacing="0" w:after="225" w:afterAutospacing="0" w:line="560" w:lineRule="exact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333333"/>
          <w:sz w:val="44"/>
          <w:szCs w:val="44"/>
        </w:rPr>
        <w:t>20</w:t>
      </w:r>
      <w:r>
        <w:rPr>
          <w:rFonts w:ascii="方正小标宋简体" w:eastAsia="方正小标宋简体" w:hAnsi="微软雅黑"/>
          <w:color w:val="333333"/>
          <w:sz w:val="44"/>
          <w:szCs w:val="44"/>
        </w:rPr>
        <w:t>2</w:t>
      </w:r>
      <w:r w:rsidR="00D9080A">
        <w:rPr>
          <w:rFonts w:ascii="方正小标宋简体" w:eastAsia="方正小标宋简体" w:hAnsi="微软雅黑"/>
          <w:color w:val="333333"/>
          <w:sz w:val="44"/>
          <w:szCs w:val="44"/>
        </w:rPr>
        <w:t>1</w:t>
      </w:r>
      <w:r>
        <w:rPr>
          <w:rFonts w:ascii="方正小标宋简体" w:eastAsia="方正小标宋简体" w:hint="eastAsia"/>
          <w:color w:val="333333"/>
          <w:sz w:val="44"/>
          <w:szCs w:val="44"/>
        </w:rPr>
        <w:t>年长征街道部门整体支出绩效报告</w:t>
      </w:r>
    </w:p>
    <w:p w:rsidR="007C783B" w:rsidRDefault="007C783B" w:rsidP="007C783B">
      <w:pPr>
        <w:widowControl/>
        <w:shd w:val="clear" w:color="auto" w:fill="FFFFFF"/>
        <w:spacing w:line="560" w:lineRule="exact"/>
        <w:ind w:firstLine="645"/>
        <w:rPr>
          <w:rFonts w:ascii="Helvetica" w:eastAsia="宋体" w:hAnsi="Helvetica" w:cs="宋体"/>
          <w:color w:val="333333"/>
          <w:sz w:val="24"/>
          <w:szCs w:val="24"/>
          <w:lang w:val="en" w:eastAsia="zh-CN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为进一步加强财政支出的监督管理，规范支出预算执行，提高财政资金使用效益，全面推进预算绩效管理，我街道对20</w:t>
      </w:r>
      <w:r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2</w:t>
      </w:r>
      <w:r w:rsidR="00D9080A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1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年度财政性资金整体使用情况进行了绩效自评，现将有关情况报告如下：</w:t>
      </w:r>
    </w:p>
    <w:p w:rsidR="007C783B" w:rsidRDefault="007C783B" w:rsidP="007C783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一、单位概况</w:t>
      </w:r>
    </w:p>
    <w:p w:rsidR="00D9080A" w:rsidRPr="003E7BD7" w:rsidRDefault="007C783B" w:rsidP="00D9080A">
      <w:pPr>
        <w:widowControl/>
        <w:spacing w:line="315" w:lineRule="atLeast"/>
        <w:ind w:firstLineChars="200" w:firstLine="643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  <w:lang w:eastAsia="zh-CN"/>
        </w:rPr>
        <w:t>（一）机构组成。</w:t>
      </w:r>
      <w:r w:rsidR="00D9080A" w:rsidRPr="003E7BD7">
        <w:rPr>
          <w:rFonts w:ascii="仿宋" w:eastAsia="仿宋" w:hAnsi="仿宋" w:hint="eastAsia"/>
          <w:sz w:val="32"/>
          <w:szCs w:val="32"/>
          <w:lang w:eastAsia="zh-CN"/>
        </w:rPr>
        <w:t>白银市平川区长征街道办事处本年度机构设置</w:t>
      </w:r>
      <w:r w:rsidR="00D9080A" w:rsidRPr="003E7BD7">
        <w:rPr>
          <w:rFonts w:ascii="仿宋" w:eastAsia="仿宋" w:hAnsi="仿宋"/>
          <w:sz w:val="32"/>
          <w:szCs w:val="32"/>
          <w:lang w:eastAsia="zh-CN"/>
        </w:rPr>
        <w:t>5</w:t>
      </w:r>
      <w:r w:rsidR="00D9080A" w:rsidRPr="003E7BD7">
        <w:rPr>
          <w:rFonts w:ascii="仿宋" w:eastAsia="仿宋" w:hAnsi="仿宋" w:hint="eastAsia"/>
          <w:sz w:val="32"/>
          <w:szCs w:val="32"/>
          <w:lang w:eastAsia="zh-CN"/>
        </w:rPr>
        <w:t>个，包括政务服务中心、社会治安综合治理中心、社区服务中心、公共事务服务中心、综合行政执法队，各部门财务由街道办事处机关统一管理。</w:t>
      </w:r>
    </w:p>
    <w:p w:rsidR="007C783B" w:rsidRPr="007F2E61" w:rsidRDefault="007C783B" w:rsidP="007C783B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  <w:lang w:eastAsia="zh-CN"/>
        </w:rPr>
        <w:t>（二）机构职能。</w:t>
      </w:r>
      <w:r w:rsidRPr="007F2E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宣传和贯彻执行党的路线方针政策和法律法规；落实基层管党治党工作责任制；规范经济管理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促进</w:t>
      </w:r>
      <w:r w:rsidRPr="007F2E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经济发展；加强社会管理和基础设施建设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  <w:r w:rsidRPr="007F2E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发展公益事业，强化公共服务；加强综合治理，维护社会稳定；依法依规承担下放的经济社会管理权限和行政执法事项。</w:t>
      </w:r>
    </w:p>
    <w:p w:rsidR="007C783B" w:rsidRDefault="007C783B" w:rsidP="007C783B">
      <w:pPr>
        <w:spacing w:line="58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  <w:lang w:eastAsia="zh-CN"/>
        </w:rPr>
        <w:t>（三）人员概况。</w:t>
      </w:r>
    </w:p>
    <w:p w:rsidR="00D9080A" w:rsidRDefault="00D9080A" w:rsidP="00D9080A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）核定编制情况：行政编制</w:t>
      </w:r>
      <w:r>
        <w:rPr>
          <w:rFonts w:ascii="Times New Roman" w:eastAsia="仿宋_GB2312" w:hAnsi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人，工勤编制</w:t>
      </w:r>
      <w:r>
        <w:rPr>
          <w:rFonts w:ascii="Times New Roman" w:eastAsia="仿宋_GB2312" w:hAnsi="Times New Roman"/>
          <w:sz w:val="32"/>
          <w:szCs w:val="32"/>
          <w:lang w:eastAsia="zh-CN"/>
        </w:rPr>
        <w:t>0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人，事业编制</w:t>
      </w:r>
      <w:r>
        <w:rPr>
          <w:rFonts w:ascii="Times New Roman" w:eastAsia="仿宋_GB2312" w:hAnsi="Times New Roman"/>
          <w:sz w:val="32"/>
          <w:szCs w:val="32"/>
          <w:lang w:eastAsia="zh-CN"/>
        </w:rPr>
        <w:t>68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人。</w:t>
      </w:r>
    </w:p>
    <w:p w:rsidR="00D9080A" w:rsidRPr="00D9080A" w:rsidRDefault="00D9080A" w:rsidP="00D9080A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）实有人员情况：行政在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/>
          <w:sz w:val="32"/>
          <w:szCs w:val="32"/>
          <w:lang w:eastAsia="zh-CN"/>
        </w:rPr>
        <w:t>8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人，事业在职</w:t>
      </w:r>
      <w:r>
        <w:rPr>
          <w:rFonts w:ascii="Times New Roman" w:eastAsia="仿宋_GB2312" w:hAnsi="Times New Roman"/>
          <w:sz w:val="32"/>
          <w:szCs w:val="32"/>
          <w:lang w:eastAsia="zh-CN"/>
        </w:rPr>
        <w:t>97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人。</w:t>
      </w:r>
    </w:p>
    <w:p w:rsidR="007C783B" w:rsidRDefault="007C783B" w:rsidP="007C783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二、部门财政资金收支情况</w:t>
      </w:r>
    </w:p>
    <w:p w:rsidR="00D9080A" w:rsidRDefault="00D9080A" w:rsidP="007C78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长征街道办事处2021年度收入、支出总计各</w:t>
      </w:r>
      <w:r w:rsidRPr="00B062F8">
        <w:rPr>
          <w:rFonts w:ascii="仿宋_GB2312" w:eastAsia="仿宋_GB2312" w:hAnsi="仿宋_GB2312" w:cs="仿宋_GB2312"/>
          <w:sz w:val="32"/>
          <w:szCs w:val="32"/>
          <w:lang w:eastAsia="zh-CN"/>
        </w:rPr>
        <w:t>1333.89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万元，与上年相比收、支总计各增加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264.57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万元，增长</w:t>
      </w:r>
      <w:r w:rsidRPr="00AC53A5">
        <w:rPr>
          <w:rFonts w:ascii="仿宋_GB2312" w:eastAsia="仿宋_GB2312" w:hAnsi="仿宋_GB2312" w:cs="仿宋_GB2312"/>
          <w:sz w:val="32"/>
          <w:szCs w:val="32"/>
          <w:lang w:eastAsia="zh-CN"/>
        </w:rPr>
        <w:t>24.74</w:t>
      </w:r>
      <w:r w:rsidRPr="00AC53A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%。</w:t>
      </w:r>
    </w:p>
    <w:p w:rsidR="007C783B" w:rsidRDefault="007C783B" w:rsidP="00D9080A">
      <w:pPr>
        <w:spacing w:line="560" w:lineRule="exact"/>
        <w:ind w:firstLineChars="150" w:firstLine="482"/>
        <w:rPr>
          <w:rFonts w:ascii="楷体_GB2312" w:eastAsia="楷体_GB2312" w:hAnsi="楷体" w:cs="仿宋_GB2312"/>
          <w:b/>
          <w:sz w:val="32"/>
          <w:szCs w:val="32"/>
          <w:shd w:val="clear" w:color="auto" w:fill="FFFFFF"/>
          <w:lang w:eastAsia="zh-CN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  <w:lang w:eastAsia="zh-CN"/>
        </w:rPr>
        <w:lastRenderedPageBreak/>
        <w:t>（一）部门财政资金收入情况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1．财政拨款收入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1330.79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万元，为当年从区级财政取得的一般公共预算拨款和政府性基金预算拨款，与上年相比</w:t>
      </w:r>
      <w:r w:rsidRPr="002D2E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增加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262.55</w:t>
      </w:r>
      <w:r w:rsidRPr="002D2E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24.58</w:t>
      </w:r>
      <w:r w:rsidRPr="002D2E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%。主要原因是人员增加。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2．年初结转和结3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.10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万元，主要为长征街道办事处上年结转本年使用的社会保障缴费资金。</w:t>
      </w:r>
    </w:p>
    <w:p w:rsidR="007C783B" w:rsidRDefault="007C783B" w:rsidP="007C783B">
      <w:pPr>
        <w:pStyle w:val="a5"/>
        <w:shd w:val="clear" w:color="auto" w:fill="FFFFFF"/>
        <w:spacing w:before="0" w:beforeAutospacing="0" w:after="0" w:afterAutospacing="0" w:line="560" w:lineRule="exact"/>
        <w:ind w:firstLine="482"/>
        <w:rPr>
          <w:rFonts w:ascii="楷体_GB2312" w:eastAsia="楷体_GB2312" w:hAnsi="楷体" w:cs="仿宋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</w:rPr>
        <w:t>（二）部门财政资金支出情况。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1．一般公共服务（类）支出</w:t>
      </w:r>
      <w:r w:rsidRPr="00ED6DC2">
        <w:rPr>
          <w:rFonts w:ascii="仿宋_GB2312" w:eastAsia="仿宋_GB2312" w:hAnsi="仿宋_GB2312" w:cs="仿宋_GB2312"/>
          <w:sz w:val="32"/>
          <w:szCs w:val="32"/>
          <w:lang w:eastAsia="zh-CN"/>
        </w:rPr>
        <w:t>1223.64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万元，主要用于行政运行和一般行政管理事务的支出。与上年相比增加</w:t>
      </w:r>
      <w:r w:rsidRPr="002D2E4A">
        <w:rPr>
          <w:rFonts w:ascii="仿宋_GB2312" w:eastAsia="仿宋_GB2312" w:hAnsi="仿宋_GB2312" w:cs="仿宋_GB2312"/>
          <w:sz w:val="32"/>
          <w:szCs w:val="32"/>
          <w:lang w:eastAsia="zh-CN"/>
        </w:rPr>
        <w:t>863.76</w:t>
      </w:r>
      <w:r w:rsidRPr="002D2E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 w:rsidRPr="00E66C9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增长</w:t>
      </w:r>
      <w:r w:rsidRPr="00E66C9D">
        <w:rPr>
          <w:rFonts w:ascii="仿宋_GB2312" w:eastAsia="仿宋_GB2312" w:hAnsi="仿宋_GB2312" w:cs="仿宋_GB2312"/>
          <w:sz w:val="32"/>
          <w:szCs w:val="32"/>
          <w:lang w:eastAsia="zh-CN"/>
        </w:rPr>
        <w:t>240.01</w:t>
      </w:r>
      <w:r w:rsidRPr="00E66C9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主要原因是人员增加，一般行政管理事务费用增加。</w:t>
      </w:r>
    </w:p>
    <w:p w:rsidR="00D9080A" w:rsidRDefault="00D9080A" w:rsidP="00D9080A">
      <w:pPr>
        <w:spacing w:line="560" w:lineRule="exact"/>
        <w:ind w:firstLineChars="200" w:firstLine="640"/>
        <w:rPr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2.文化旅游体育与传媒（类）支出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3.24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万元，与上年相比减少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86.01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96.37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%。主要原因是疫情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影响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。 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3.社会保障和就业（类）支出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9.39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万元，与上年相比减少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77.35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89.17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%。主要原因是人员减少。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E66C9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4.卫生健康支出</w:t>
      </w:r>
      <w:r w:rsidRPr="00E66C9D">
        <w:rPr>
          <w:rFonts w:ascii="仿宋_GB2312" w:eastAsia="仿宋_GB2312" w:hAnsi="仿宋_GB2312" w:cs="仿宋_GB2312"/>
          <w:sz w:val="32"/>
          <w:szCs w:val="32"/>
          <w:lang w:eastAsia="zh-CN"/>
        </w:rPr>
        <w:t>30</w:t>
      </w:r>
      <w:r w:rsidRPr="00E66C9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  <w:r w:rsidRPr="00384F0B">
        <w:rPr>
          <w:rFonts w:ascii="仿宋_GB2312" w:eastAsia="仿宋_GB2312" w:hAnsi="仿宋_GB2312" w:cs="仿宋_GB2312"/>
          <w:color w:val="FF000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同比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增长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%。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5.灾害防治及应急管理（类）支出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万元，与上年相比减少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99.98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元，减少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97.09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%。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6.农林水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6.64万元，与上年相比减少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99.98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元，减少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0.30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%。</w:t>
      </w:r>
    </w:p>
    <w:p w:rsidR="00D9080A" w:rsidRDefault="00D9080A" w:rsidP="00D9080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7.</w:t>
      </w:r>
      <w:r w:rsidRPr="00D03CDE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国有资本经营预算支出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58万元，同比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增长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%。</w:t>
      </w:r>
    </w:p>
    <w:p w:rsidR="007C783B" w:rsidRDefault="007C783B" w:rsidP="004273A6">
      <w:pPr>
        <w:spacing w:line="56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333333"/>
          <w:sz w:val="32"/>
          <w:szCs w:val="32"/>
          <w:lang w:eastAsia="zh-CN"/>
        </w:rPr>
        <w:t>三、部门财政支出管理情况</w:t>
      </w:r>
    </w:p>
    <w:p w:rsidR="007C783B" w:rsidRDefault="007C783B" w:rsidP="007C783B">
      <w:pPr>
        <w:spacing w:line="560" w:lineRule="exact"/>
        <w:ind w:firstLineChars="200" w:firstLine="643"/>
        <w:rPr>
          <w:rFonts w:ascii="楷体_GB2312" w:eastAsia="楷体_GB2312" w:hAnsi="楷体" w:cs="仿宋_GB2312"/>
          <w:b/>
          <w:sz w:val="32"/>
          <w:szCs w:val="32"/>
          <w:shd w:val="clear" w:color="auto" w:fill="FFFFFF"/>
          <w:lang w:eastAsia="zh-CN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  <w:lang w:eastAsia="zh-CN"/>
        </w:rPr>
        <w:t>（一）预算编制情况</w:t>
      </w:r>
    </w:p>
    <w:p w:rsidR="007C783B" w:rsidRDefault="007C783B" w:rsidP="007C783B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lastRenderedPageBreak/>
        <w:t>按照部门预算编制通知要求，按时完成街道年初预算编制工作。在编制过程中，认真核实单位实际财政供养人数和单位实有编制情况，正确编制人员经费和公用经费等，做到尽量细化项目资金支出预算范围和科目，认真仔细核实本年开工工程建设项目，清理往年工程建设欠款，做到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不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漏报不乱报，及时上报相关股室进行审核。</w:t>
      </w:r>
    </w:p>
    <w:p w:rsidR="007C783B" w:rsidRDefault="007C783B" w:rsidP="007C783B">
      <w:pPr>
        <w:spacing w:line="560" w:lineRule="exact"/>
        <w:ind w:firstLineChars="200" w:firstLine="643"/>
        <w:rPr>
          <w:rFonts w:ascii="楷体_GB2312" w:eastAsia="楷体_GB2312" w:hAnsi="楷体" w:cs="仿宋_GB2312"/>
          <w:b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  <w:lang w:eastAsia="zh-CN"/>
        </w:rPr>
        <w:t>（二）执行管理情况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1.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财力专项预算拨付时限。由街道按季度向区财政局打报告，再由区财政局按照季度拨付。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2.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部门预算执行进度情况。按照预算执行率达到100%。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3.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节能降耗。按照公共机构节能减排要求，继续深入推进节水、节电、节油、节约办公耗材工作，采购符合节能标准的办公设备、办公用品等。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4.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“三公”经费预算执行情况。街道20</w:t>
      </w:r>
      <w:r w:rsidR="00CF630C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2</w:t>
      </w:r>
      <w:r w:rsidR="00000FB7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1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 xml:space="preserve"> 年度一般公共预算拨款安排的“三公”经费决算支出中，因公出国（境）费支出0万元，占“三公”经费的0%；公务用车购置及运行费支出0万元，占“三公”经费的0%；公务接待费支出0万元，占“三公”经费的</w:t>
      </w:r>
      <w:r w:rsidR="00000FB7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0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%。</w:t>
      </w:r>
    </w:p>
    <w:p w:rsidR="007C783B" w:rsidRDefault="007C783B" w:rsidP="007C783B">
      <w:pPr>
        <w:spacing w:line="560" w:lineRule="exact"/>
        <w:ind w:firstLineChars="200" w:firstLine="643"/>
        <w:rPr>
          <w:rFonts w:ascii="楷体_GB2312" w:eastAsia="楷体_GB2312" w:hAnsi="楷体" w:cs="仿宋_GB2312"/>
          <w:b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楷体_GB2312" w:eastAsia="楷体_GB2312" w:hAnsi="楷体" w:cs="仿宋_GB2312" w:hint="eastAsia"/>
          <w:b/>
          <w:sz w:val="32"/>
          <w:szCs w:val="32"/>
          <w:shd w:val="clear" w:color="auto" w:fill="FFFFFF"/>
          <w:lang w:eastAsia="zh-CN"/>
        </w:rPr>
        <w:t>（三）综合管理情况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1.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非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税收入执收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情况。严格执行“收支两条线”管理制度，按照有关规定纳入“综合财政预算”统一管理，由执行单位先缴入财政专户再由财政专户统一上缴国库。</w:t>
      </w:r>
    </w:p>
    <w:p w:rsidR="007C783B" w:rsidRPr="00000FB7" w:rsidRDefault="007C783B" w:rsidP="00000FB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2.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政府采购实施情况。严格按照《中华人民共和国政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lastRenderedPageBreak/>
        <w:t>府采购法》及其实施条例有关规定执行。单项采购金额达到</w:t>
      </w:r>
      <w:r w:rsidR="00EB4459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3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万元以上的货物、工程、服务、项目采用公开招标方式；货物、工程、服务单项</w:t>
      </w:r>
      <w:r w:rsidR="00EB4459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2</w:t>
      </w:r>
      <w:r w:rsidR="00EB4459"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千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元以上</w:t>
      </w:r>
      <w:r w:rsidR="00EB4459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3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万元以下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先由各部门、各社区申请；部门负责人或包社区领导审核；单位负责人复审；再经街道党委会研究之后进行采购；财务部门审核付款、登账；最后登陆政府采购网根据采购合同录入采购信息。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3.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资产管理情况。资产的管理由办公室负责，具体包括固定资产的配备及使用标准;固定资产采购、验收、保管、维修保养工作;固定资产实物登记统计工作;对固定资产进行定期盘点、清理核对工作;对固定资产调拨、报废处理等有关管理工作。财务人员负责对固定资产增减变动及时进行账务处理; 负责对固定资产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总帐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及明细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分类帐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核算;负责登陆固定资产系统维护资产信息的工作；做到帐实相符。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4.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内控制度管理情况。为进一步做好街道内部控制基础性评价工作，街道按照区财政局《关于转发〈行政事业单位内部控制报告管理制度（试行）的通知〉》文件要求，结合街道实际，制订了各项管理制度，促进街道有效开展内部控制工作。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5.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信息公开情况。除涉密信息外，在区财政局批复后通过区政府门户网站向社会公开预算和决算。</w:t>
      </w:r>
    </w:p>
    <w:p w:rsidR="007C783B" w:rsidRDefault="007C783B" w:rsidP="007C783B">
      <w:pPr>
        <w:spacing w:line="560" w:lineRule="exact"/>
        <w:ind w:firstLineChars="200" w:firstLine="643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6.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绩效评价及监督情况。我街道高度重视绩效考评工作，严格遵守各项财务制度，坚持重大事项由党委会集体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lastRenderedPageBreak/>
        <w:t>讨论决定，积极配合财政、审计、纪检等部门的监督与检查。</w:t>
      </w:r>
    </w:p>
    <w:p w:rsidR="007C783B" w:rsidRDefault="007C783B" w:rsidP="007C783B">
      <w:pPr>
        <w:spacing w:line="560" w:lineRule="exact"/>
        <w:ind w:firstLineChars="200" w:firstLine="643"/>
        <w:rPr>
          <w:rFonts w:ascii="楷体_GB2312" w:eastAsia="楷体_GB2312"/>
          <w:b/>
          <w:kern w:val="2"/>
          <w:sz w:val="32"/>
          <w:szCs w:val="32"/>
          <w:lang w:eastAsia="zh-CN"/>
        </w:rPr>
      </w:pPr>
      <w:r>
        <w:rPr>
          <w:rFonts w:ascii="楷体_GB2312" w:eastAsia="楷体_GB2312" w:hint="eastAsia"/>
          <w:b/>
          <w:sz w:val="32"/>
          <w:szCs w:val="32"/>
          <w:lang w:eastAsia="zh-CN"/>
        </w:rPr>
        <w:t>（四）整体绩效情况</w:t>
      </w:r>
    </w:p>
    <w:p w:rsidR="00000FB7" w:rsidRDefault="00000FB7" w:rsidP="00EB44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1.投资330万元,改建1630平方米的街道综合养老服务中心项目,该项目正在施工，预计10月底前完成并运营。</w:t>
      </w:r>
    </w:p>
    <w:p w:rsidR="00000FB7" w:rsidRDefault="00000FB7" w:rsidP="00EB44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2.投资78万元,改建530平方米的黄土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社区综合服务中心项目,该项目以竣工,计划9月中旬搬迁。</w:t>
      </w:r>
    </w:p>
    <w:p w:rsidR="00000FB7" w:rsidRDefault="00000FB7" w:rsidP="00EB44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3.投资140万元,改扩建魏家地社区综合服务中心和卫生服务站项目，该项目正在施工，预计12月底前完成。</w:t>
      </w:r>
    </w:p>
    <w:p w:rsidR="00000FB7" w:rsidRDefault="00000FB7" w:rsidP="00EB4459">
      <w:pPr>
        <w:pStyle w:val="a5"/>
        <w:spacing w:before="0" w:beforeAutospacing="0" w:after="0" w:afterAutospacing="0"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4.计划投资120万元改扩建长征社区党群服务中心，目前正在对办公阵地进行协商解决。</w:t>
      </w:r>
    </w:p>
    <w:p w:rsidR="007C783B" w:rsidRDefault="007C783B" w:rsidP="007C783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四、评价结论及建议</w:t>
      </w:r>
    </w:p>
    <w:p w:rsidR="007C783B" w:rsidRDefault="007C783B" w:rsidP="007C783B">
      <w:pPr>
        <w:pStyle w:val="a5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AnsiTheme="minorHAnsi" w:cstheme="minorBidi" w:hint="eastAsia"/>
          <w:b/>
          <w:sz w:val="32"/>
          <w:szCs w:val="32"/>
        </w:rPr>
        <w:t>（一）评价结论。</w:t>
      </w:r>
      <w:r>
        <w:rPr>
          <w:rFonts w:ascii="仿宋_GB2312" w:eastAsia="仿宋_GB2312" w:hint="eastAsia"/>
          <w:color w:val="333333"/>
          <w:sz w:val="32"/>
          <w:szCs w:val="32"/>
        </w:rPr>
        <w:t>部门基本支出预算，保障了街道工作的正常运转，圆满完成了区委、区政府下达的各项业务目标任务。</w:t>
      </w:r>
    </w:p>
    <w:p w:rsidR="007C783B" w:rsidRDefault="007C783B" w:rsidP="007C783B">
      <w:pPr>
        <w:pStyle w:val="a5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AnsiTheme="minorHAnsi" w:cstheme="minorBidi" w:hint="eastAsia"/>
          <w:b/>
          <w:sz w:val="32"/>
          <w:szCs w:val="32"/>
        </w:rPr>
        <w:t>（二）存在问题。</w:t>
      </w:r>
      <w:r>
        <w:rPr>
          <w:rFonts w:ascii="仿宋_GB2312" w:eastAsia="仿宋_GB2312" w:hint="eastAsia"/>
          <w:color w:val="333333"/>
          <w:sz w:val="32"/>
          <w:szCs w:val="32"/>
        </w:rPr>
        <w:t>预算编制过于简单，对各项支出缺乏预见性。</w:t>
      </w:r>
    </w:p>
    <w:p w:rsidR="007C783B" w:rsidRDefault="007C783B" w:rsidP="007C783B">
      <w:pPr>
        <w:pStyle w:val="a5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AnsiTheme="minorHAnsi" w:cstheme="minorBidi" w:hint="eastAsia"/>
          <w:b/>
          <w:sz w:val="32"/>
          <w:szCs w:val="32"/>
        </w:rPr>
        <w:t>（三）改进建议。</w:t>
      </w:r>
      <w:r>
        <w:rPr>
          <w:rFonts w:ascii="仿宋_GB2312" w:eastAsia="仿宋_GB2312" w:hint="eastAsia"/>
          <w:color w:val="333333"/>
          <w:sz w:val="32"/>
          <w:szCs w:val="32"/>
        </w:rPr>
        <w:t>细化预算编制工作，严格按照预算编制的相关制度和要求做好预算的编制，进一步加强各站所的预算管理意识。</w:t>
      </w:r>
    </w:p>
    <w:p w:rsidR="003258A1" w:rsidRPr="007C783B" w:rsidRDefault="003258A1">
      <w:pPr>
        <w:rPr>
          <w:lang w:eastAsia="zh-CN"/>
        </w:rPr>
      </w:pPr>
    </w:p>
    <w:sectPr w:rsidR="003258A1" w:rsidRPr="007C78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A1" w:rsidRDefault="00BD5A69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10233660</wp:posOffset>
              </wp:positionV>
              <wp:extent cx="152400" cy="127000"/>
              <wp:effectExtent l="0" t="3810" r="127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58A1" w:rsidRDefault="00BD5A69">
                          <w:pPr>
                            <w:spacing w:line="180" w:lineRule="exact"/>
                            <w:ind w:left="40"/>
                            <w:rPr>
                              <w:rFonts w:ascii="宋体" w:eastAsia="宋体" w:hAnsi="宋体" w:cs="宋体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459">
                            <w:rPr>
                              <w:rFonts w:ascii="宋体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1.65pt;margin-top:805.8pt;width:12pt;height:1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" filled="f" stroked="f">
              <v:textbox inset="0,0,0,0">
                <w:txbxContent>
                  <w:p w:rsidR="003258A1" w:rsidRDefault="00BD5A69">
                    <w:pPr>
                      <w:spacing w:line="180" w:lineRule="exact"/>
                      <w:ind w:left="40"/>
                      <w:rPr>
                        <w:rFonts w:ascii="宋体" w:eastAsia="宋体" w:hAnsi="宋体" w:cs="宋体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459">
                      <w:rPr>
                        <w:rFonts w:ascii="宋体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3C"/>
    <w:rsid w:val="00000FB7"/>
    <w:rsid w:val="000A623C"/>
    <w:rsid w:val="003258A1"/>
    <w:rsid w:val="004273A6"/>
    <w:rsid w:val="007B40E8"/>
    <w:rsid w:val="007C783B"/>
    <w:rsid w:val="00BD5A69"/>
    <w:rsid w:val="00CF630C"/>
    <w:rsid w:val="00D9080A"/>
    <w:rsid w:val="00EB4459"/>
    <w:rsid w:val="00EF22DE"/>
    <w:rsid w:val="422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2442"/>
  <w15:docId w15:val="{AF5A5152-7255-44C8-BB06-2D41C5F7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1"/>
    <w:qFormat/>
    <w:pPr>
      <w:spacing w:before="42"/>
      <w:ind w:left="722"/>
      <w:outlineLvl w:val="2"/>
    </w:pPr>
    <w:rPr>
      <w:rFonts w:ascii="楷体_GB2312" w:eastAsia="楷体_GB2312" w:hAnsi="楷体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20"/>
    </w:pPr>
    <w:rPr>
      <w:rFonts w:ascii="仿宋_GB2312" w:eastAsia="仿宋_GB2312" w:hAnsi="仿宋_GB2312"/>
      <w:sz w:val="30"/>
      <w:szCs w:val="30"/>
    </w:rPr>
  </w:style>
  <w:style w:type="character" w:customStyle="1" w:styleId="30">
    <w:name w:val="标题 3 字符"/>
    <w:basedOn w:val="a0"/>
    <w:link w:val="3"/>
    <w:uiPriority w:val="1"/>
    <w:rPr>
      <w:rFonts w:ascii="楷体_GB2312" w:eastAsia="楷体_GB2312" w:hAnsi="楷体_GB2312"/>
      <w:b/>
      <w:bCs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rPr>
      <w:rFonts w:ascii="仿宋_GB2312" w:eastAsia="仿宋_GB2312" w:hAnsi="仿宋_GB2312"/>
      <w:kern w:val="0"/>
      <w:sz w:val="30"/>
      <w:szCs w:val="30"/>
      <w:lang w:eastAsia="en-US"/>
    </w:rPr>
  </w:style>
  <w:style w:type="paragraph" w:styleId="a5">
    <w:name w:val="Normal (Web)"/>
    <w:basedOn w:val="a"/>
    <w:unhideWhenUsed/>
    <w:rsid w:val="007C783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D9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080A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D908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080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7</cp:revision>
  <dcterms:created xsi:type="dcterms:W3CDTF">2018-08-01T02:14:00Z</dcterms:created>
  <dcterms:modified xsi:type="dcterms:W3CDTF">2022-10-10T07:15:00Z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