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黑体" w:hAnsi="黑体" w:eastAsia="黑体"/>
          <w:sz w:val="32"/>
          <w:szCs w:val="32"/>
        </w:rPr>
      </w:pPr>
      <w:r>
        <w:rPr>
          <w:rFonts w:hint="eastAsia" w:ascii="黑体" w:hAnsi="黑体" w:eastAsia="黑体"/>
          <w:sz w:val="32"/>
          <w:szCs w:val="32"/>
        </w:rPr>
        <w:t>附件2：</w:t>
      </w:r>
    </w:p>
    <w:p>
      <w:pPr>
        <w:adjustRightInd w:val="0"/>
        <w:snapToGrid w:val="0"/>
        <w:spacing w:before="156" w:beforeLines="50" w:line="600" w:lineRule="exact"/>
        <w:jc w:val="center"/>
        <w:rPr>
          <w:rFonts w:ascii="方正小标宋简体" w:hAnsi="宋体" w:eastAsia="方正小标宋简体" w:cs="宋体"/>
          <w:bCs/>
          <w:kern w:val="0"/>
          <w:sz w:val="40"/>
          <w:szCs w:val="40"/>
        </w:rPr>
      </w:pPr>
      <w:r>
        <w:rPr>
          <w:rFonts w:hint="eastAsia" w:ascii="方正小标宋简体" w:hAnsi="宋体" w:eastAsia="方正小标宋简体" w:cs="宋体"/>
          <w:bCs/>
          <w:kern w:val="0"/>
          <w:sz w:val="40"/>
          <w:szCs w:val="40"/>
        </w:rPr>
        <w:t>甘肃省医疗救助补助资金</w:t>
      </w:r>
    </w:p>
    <w:p>
      <w:pPr>
        <w:adjustRightInd w:val="0"/>
        <w:snapToGrid w:val="0"/>
        <w:spacing w:line="600" w:lineRule="exact"/>
        <w:jc w:val="center"/>
        <w:rPr>
          <w:rFonts w:ascii="方正小标宋简体" w:eastAsia="方正小标宋简体"/>
          <w:sz w:val="40"/>
          <w:szCs w:val="40"/>
        </w:rPr>
      </w:pPr>
      <w:r>
        <w:rPr>
          <w:rFonts w:hint="eastAsia" w:ascii="方正小标宋简体" w:hAnsi="宋体" w:eastAsia="方正小标宋简体" w:cs="宋体"/>
          <w:bCs/>
          <w:kern w:val="0"/>
          <w:sz w:val="40"/>
          <w:szCs w:val="40"/>
        </w:rPr>
        <w:t>绩效评价自评表</w:t>
      </w:r>
    </w:p>
    <w:p>
      <w:pPr>
        <w:adjustRightInd w:val="0"/>
        <w:snapToGrid w:val="0"/>
        <w:spacing w:line="600" w:lineRule="exact"/>
        <w:ind w:firstLine="720" w:firstLineChars="200"/>
        <w:jc w:val="center"/>
        <w:rPr>
          <w:rFonts w:ascii="黑体" w:hAnsi="黑体" w:eastAsia="黑体"/>
          <w:sz w:val="36"/>
          <w:szCs w:val="36"/>
        </w:rPr>
      </w:pPr>
      <w:r>
        <w:rPr>
          <w:rFonts w:hint="eastAsia" w:ascii="黑体" w:hAnsi="黑体" w:eastAsia="黑体" w:cs="宋体"/>
          <w:kern w:val="0"/>
          <w:sz w:val="36"/>
          <w:szCs w:val="36"/>
        </w:rPr>
        <w:t>（202</w:t>
      </w:r>
      <w:r>
        <w:rPr>
          <w:rFonts w:ascii="黑体" w:hAnsi="黑体" w:eastAsia="黑体" w:cs="宋体"/>
          <w:kern w:val="0"/>
          <w:sz w:val="36"/>
          <w:szCs w:val="36"/>
        </w:rPr>
        <w:t>2</w:t>
      </w:r>
      <w:r>
        <w:rPr>
          <w:rFonts w:hint="eastAsia" w:ascii="黑体" w:hAnsi="黑体" w:eastAsia="黑体" w:cs="宋体"/>
          <w:kern w:val="0"/>
          <w:sz w:val="36"/>
          <w:szCs w:val="36"/>
        </w:rPr>
        <w:t>年度）</w:t>
      </w:r>
    </w:p>
    <w:tbl>
      <w:tblPr>
        <w:tblStyle w:val="6"/>
        <w:tblW w:w="8898" w:type="dxa"/>
        <w:jc w:val="center"/>
        <w:tblLayout w:type="autofit"/>
        <w:tblCellMar>
          <w:top w:w="0" w:type="dxa"/>
          <w:left w:w="108" w:type="dxa"/>
          <w:bottom w:w="0" w:type="dxa"/>
          <w:right w:w="108" w:type="dxa"/>
        </w:tblCellMar>
      </w:tblPr>
      <w:tblGrid>
        <w:gridCol w:w="490"/>
        <w:gridCol w:w="593"/>
        <w:gridCol w:w="9"/>
        <w:gridCol w:w="763"/>
        <w:gridCol w:w="1826"/>
        <w:gridCol w:w="930"/>
        <w:gridCol w:w="788"/>
        <w:gridCol w:w="1302"/>
        <w:gridCol w:w="534"/>
        <w:gridCol w:w="7"/>
        <w:gridCol w:w="1656"/>
      </w:tblGrid>
      <w:tr>
        <w:tblPrEx>
          <w:tblCellMar>
            <w:top w:w="0" w:type="dxa"/>
            <w:left w:w="108" w:type="dxa"/>
            <w:bottom w:w="0" w:type="dxa"/>
            <w:right w:w="108" w:type="dxa"/>
          </w:tblCellMar>
        </w:tblPrEx>
        <w:trPr>
          <w:trHeight w:val="397" w:hRule="atLeast"/>
          <w:jc w:val="center"/>
        </w:trPr>
        <w:tc>
          <w:tcPr>
            <w:tcW w:w="1083"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转移支付</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spacing w:val="-10"/>
                <w:kern w:val="0"/>
                <w:szCs w:val="21"/>
              </w:rPr>
              <w:t>项目）名称</w:t>
            </w:r>
          </w:p>
        </w:tc>
        <w:tc>
          <w:tcPr>
            <w:tcW w:w="7815" w:type="dxa"/>
            <w:gridSpan w:val="9"/>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医疗救助补助资金（城乡医疗救助部分）</w:t>
            </w:r>
          </w:p>
        </w:tc>
      </w:tr>
      <w:tr>
        <w:tblPrEx>
          <w:tblCellMar>
            <w:top w:w="0" w:type="dxa"/>
            <w:left w:w="108" w:type="dxa"/>
            <w:bottom w:w="0" w:type="dxa"/>
            <w:right w:w="108" w:type="dxa"/>
          </w:tblCellMar>
        </w:tblPrEx>
        <w:trPr>
          <w:trHeight w:val="680" w:hRule="atLeast"/>
          <w:jc w:val="center"/>
        </w:trPr>
        <w:tc>
          <w:tcPr>
            <w:tcW w:w="1083"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中央主管</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部门</w:t>
            </w:r>
          </w:p>
        </w:tc>
        <w:tc>
          <w:tcPr>
            <w:tcW w:w="4316" w:type="dxa"/>
            <w:gridSpan w:val="5"/>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国家医疗保障局</w:t>
            </w:r>
          </w:p>
        </w:tc>
        <w:tc>
          <w:tcPr>
            <w:tcW w:w="130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197" w:type="dxa"/>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各级医保部门</w:t>
            </w:r>
          </w:p>
        </w:tc>
      </w:tr>
      <w:tr>
        <w:tblPrEx>
          <w:tblCellMar>
            <w:top w:w="0" w:type="dxa"/>
            <w:left w:w="108" w:type="dxa"/>
            <w:bottom w:w="0" w:type="dxa"/>
            <w:right w:w="108" w:type="dxa"/>
          </w:tblCellMar>
        </w:tblPrEx>
        <w:trPr>
          <w:trHeight w:val="680" w:hRule="atLeast"/>
          <w:jc w:val="center"/>
        </w:trPr>
        <w:tc>
          <w:tcPr>
            <w:tcW w:w="1083"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地方主管</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部门</w:t>
            </w:r>
          </w:p>
        </w:tc>
        <w:tc>
          <w:tcPr>
            <w:tcW w:w="2598"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甘肃省财政厅</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全年预算数（A）</w:t>
            </w:r>
          </w:p>
        </w:tc>
        <w:tc>
          <w:tcPr>
            <w:tcW w:w="1836"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（B）</w:t>
            </w:r>
          </w:p>
        </w:tc>
        <w:tc>
          <w:tcPr>
            <w:tcW w:w="16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预算执行率</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（B/A)</w:t>
            </w:r>
          </w:p>
        </w:tc>
      </w:tr>
      <w:tr>
        <w:tblPrEx>
          <w:tblCellMar>
            <w:top w:w="0" w:type="dxa"/>
            <w:left w:w="108" w:type="dxa"/>
            <w:bottom w:w="0" w:type="dxa"/>
            <w:right w:w="108" w:type="dxa"/>
          </w:tblCellMar>
        </w:tblPrEx>
        <w:trPr>
          <w:trHeight w:val="493" w:hRule="atLeast"/>
          <w:jc w:val="center"/>
        </w:trPr>
        <w:tc>
          <w:tcPr>
            <w:tcW w:w="1083"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项目资金</w:t>
            </w:r>
          </w:p>
          <w:p>
            <w:pPr>
              <w:widowControl/>
              <w:adjustRightInd w:val="0"/>
              <w:spacing w:line="24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（万元）</w:t>
            </w:r>
          </w:p>
        </w:tc>
        <w:tc>
          <w:tcPr>
            <w:tcW w:w="2598"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593</w:t>
            </w:r>
          </w:p>
        </w:tc>
        <w:tc>
          <w:tcPr>
            <w:tcW w:w="1836" w:type="dxa"/>
            <w:gridSpan w:val="2"/>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520</w:t>
            </w:r>
          </w:p>
        </w:tc>
        <w:tc>
          <w:tcPr>
            <w:tcW w:w="1663" w:type="dxa"/>
            <w:gridSpan w:val="2"/>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88%</w:t>
            </w:r>
          </w:p>
        </w:tc>
      </w:tr>
      <w:tr>
        <w:tblPrEx>
          <w:tblCellMar>
            <w:top w:w="0" w:type="dxa"/>
            <w:left w:w="108" w:type="dxa"/>
            <w:bottom w:w="0" w:type="dxa"/>
            <w:right w:w="108" w:type="dxa"/>
          </w:tblCellMar>
        </w:tblPrEx>
        <w:trPr>
          <w:trHeight w:val="557" w:hRule="atLeast"/>
          <w:jc w:val="center"/>
        </w:trPr>
        <w:tc>
          <w:tcPr>
            <w:tcW w:w="1083"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center"/>
              <w:rPr>
                <w:rFonts w:ascii="仿宋_GB2312" w:hAnsi="宋体" w:eastAsia="仿宋_GB2312" w:cs="宋体"/>
                <w:bCs/>
                <w:kern w:val="0"/>
                <w:szCs w:val="21"/>
              </w:rPr>
            </w:pPr>
          </w:p>
        </w:tc>
        <w:tc>
          <w:tcPr>
            <w:tcW w:w="2598"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其中：中央补助</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520</w:t>
            </w:r>
          </w:p>
        </w:tc>
        <w:tc>
          <w:tcPr>
            <w:tcW w:w="1836" w:type="dxa"/>
            <w:gridSpan w:val="2"/>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512.46</w:t>
            </w:r>
          </w:p>
        </w:tc>
        <w:tc>
          <w:tcPr>
            <w:tcW w:w="1663" w:type="dxa"/>
            <w:gridSpan w:val="2"/>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99%</w:t>
            </w:r>
          </w:p>
        </w:tc>
      </w:tr>
      <w:tr>
        <w:tblPrEx>
          <w:tblCellMar>
            <w:top w:w="0" w:type="dxa"/>
            <w:left w:w="108" w:type="dxa"/>
            <w:bottom w:w="0" w:type="dxa"/>
            <w:right w:w="108" w:type="dxa"/>
          </w:tblCellMar>
        </w:tblPrEx>
        <w:trPr>
          <w:trHeight w:val="551" w:hRule="atLeast"/>
          <w:jc w:val="center"/>
        </w:trPr>
        <w:tc>
          <w:tcPr>
            <w:tcW w:w="1083"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center"/>
              <w:rPr>
                <w:rFonts w:ascii="仿宋_GB2312" w:hAnsi="宋体" w:eastAsia="仿宋_GB2312" w:cs="宋体"/>
                <w:bCs/>
                <w:kern w:val="0"/>
                <w:szCs w:val="21"/>
              </w:rPr>
            </w:pPr>
          </w:p>
        </w:tc>
        <w:tc>
          <w:tcPr>
            <w:tcW w:w="2598"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地方资金</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73</w:t>
            </w:r>
          </w:p>
        </w:tc>
        <w:tc>
          <w:tcPr>
            <w:tcW w:w="1836" w:type="dxa"/>
            <w:gridSpan w:val="2"/>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7.54</w:t>
            </w:r>
          </w:p>
        </w:tc>
        <w:tc>
          <w:tcPr>
            <w:tcW w:w="1663" w:type="dxa"/>
            <w:gridSpan w:val="2"/>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559" w:hRule="atLeast"/>
          <w:jc w:val="center"/>
        </w:trPr>
        <w:tc>
          <w:tcPr>
            <w:tcW w:w="1083"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center"/>
              <w:rPr>
                <w:rFonts w:ascii="仿宋_GB2312" w:hAnsi="宋体" w:eastAsia="仿宋_GB2312" w:cs="宋体"/>
                <w:bCs/>
                <w:kern w:val="0"/>
                <w:szCs w:val="21"/>
              </w:rPr>
            </w:pPr>
          </w:p>
        </w:tc>
        <w:tc>
          <w:tcPr>
            <w:tcW w:w="2598"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其他资金</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c>
          <w:tcPr>
            <w:tcW w:w="1836" w:type="dxa"/>
            <w:gridSpan w:val="2"/>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c>
          <w:tcPr>
            <w:tcW w:w="1663" w:type="dxa"/>
            <w:gridSpan w:val="2"/>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年度</w:t>
            </w:r>
          </w:p>
          <w:p>
            <w:pPr>
              <w:widowControl/>
              <w:adjustRightInd w:val="0"/>
              <w:spacing w:line="24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总体</w:t>
            </w:r>
          </w:p>
          <w:p>
            <w:pPr>
              <w:widowControl/>
              <w:adjustRightInd w:val="0"/>
              <w:spacing w:line="24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目标</w:t>
            </w:r>
          </w:p>
        </w:tc>
        <w:tc>
          <w:tcPr>
            <w:tcW w:w="4909"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年初设定目标</w:t>
            </w:r>
          </w:p>
        </w:tc>
        <w:tc>
          <w:tcPr>
            <w:tcW w:w="3499" w:type="dxa"/>
            <w:gridSpan w:val="4"/>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全年实际完成情况</w:t>
            </w:r>
          </w:p>
        </w:tc>
      </w:tr>
      <w:tr>
        <w:tblPrEx>
          <w:tblCellMar>
            <w:top w:w="0" w:type="dxa"/>
            <w:left w:w="108" w:type="dxa"/>
            <w:bottom w:w="0" w:type="dxa"/>
            <w:right w:w="108" w:type="dxa"/>
          </w:tblCellMar>
        </w:tblPrEx>
        <w:trPr>
          <w:trHeight w:val="1755" w:hRule="atLeast"/>
          <w:jc w:val="center"/>
        </w:trPr>
        <w:tc>
          <w:tcPr>
            <w:tcW w:w="49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bCs/>
                <w:kern w:val="0"/>
                <w:szCs w:val="21"/>
              </w:rPr>
            </w:pPr>
          </w:p>
        </w:tc>
        <w:tc>
          <w:tcPr>
            <w:tcW w:w="4121" w:type="dxa"/>
            <w:gridSpan w:val="5"/>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vAlign w:val="center"/>
          </w:tcPr>
          <w:p>
            <w:pPr>
              <w:widowControl/>
              <w:adjustRightInd w:val="0"/>
              <w:spacing w:line="28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1、对符合医疗救助条件的对象实施全覆盖；2.缓解困难群众看病贵的问题；3.明显减轻救助对象参保缴费的压力和政策范围内的个人费用负担；4、明显提高医疗保障水平；5、服务对象满意度达到85%以上</w:t>
            </w:r>
            <w:r>
              <w:rPr>
                <w:rFonts w:hint="eastAsia" w:ascii="仿宋_GB2312" w:hAnsi="宋体" w:eastAsia="仿宋_GB2312" w:cs="宋体"/>
                <w:kern w:val="0"/>
                <w:szCs w:val="21"/>
                <w:lang w:eastAsia="zh-CN"/>
              </w:rPr>
              <w:t>。</w:t>
            </w:r>
          </w:p>
        </w:tc>
        <w:tc>
          <w:tcPr>
            <w:tcW w:w="4287" w:type="dxa"/>
            <w:gridSpan w:val="5"/>
            <w:tcBorders>
              <w:top w:val="single" w:color="auto" w:sz="4" w:space="0"/>
              <w:left w:val="nil"/>
              <w:bottom w:val="single" w:color="auto" w:sz="4" w:space="0"/>
              <w:right w:val="single" w:color="000000" w:sz="4" w:space="0"/>
            </w:tcBorders>
            <w:shd w:val="clear" w:color="auto" w:fill="auto"/>
            <w:tcMar>
              <w:left w:w="0" w:type="dxa"/>
              <w:right w:w="0" w:type="dxa"/>
            </w:tcMar>
            <w:vAlign w:val="center"/>
          </w:tcPr>
          <w:p>
            <w:pPr>
              <w:widowControl/>
              <w:adjustRightInd w:val="0"/>
              <w:spacing w:line="280" w:lineRule="exact"/>
              <w:jc w:val="left"/>
              <w:rPr>
                <w:rFonts w:hint="eastAsia" w:ascii="仿宋_GB2312" w:hAnsi="宋体" w:eastAsia="仿宋_GB2312" w:cs="宋体"/>
                <w:kern w:val="0"/>
                <w:szCs w:val="21"/>
              </w:rPr>
            </w:pPr>
          </w:p>
          <w:p>
            <w:pPr>
              <w:widowControl/>
              <w:adjustRightInd w:val="0"/>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对符合医疗救助条件的对象进行全覆盖救助；2.有效缓解困难群众看病贵的问题；3.明显减轻救助对象参保缴费的压力和政策范围内的个人费用负担；4.医疗保障水平明显提高；5.服务对象满意度达到90%。</w:t>
            </w:r>
          </w:p>
        </w:tc>
      </w:tr>
      <w:tr>
        <w:tblPrEx>
          <w:tblCellMar>
            <w:top w:w="0" w:type="dxa"/>
            <w:left w:w="108" w:type="dxa"/>
            <w:bottom w:w="0" w:type="dxa"/>
            <w:right w:w="108" w:type="dxa"/>
          </w:tblCellMar>
        </w:tblPrEx>
        <w:trPr>
          <w:trHeight w:val="680" w:hRule="atLeast"/>
          <w:jc w:val="center"/>
        </w:trPr>
        <w:tc>
          <w:tcPr>
            <w:tcW w:w="490"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602"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76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718"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843" w:type="dxa"/>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全年完成值</w:t>
            </w:r>
          </w:p>
        </w:tc>
        <w:tc>
          <w:tcPr>
            <w:tcW w:w="165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未完成原因</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和改进措施</w:t>
            </w: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restart"/>
            <w:tcBorders>
              <w:top w:val="nil"/>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决策</w:t>
            </w:r>
          </w:p>
        </w:tc>
        <w:tc>
          <w:tcPr>
            <w:tcW w:w="763"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决策</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依据</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贯彻中央对医疗保障制度改革中有关医疗救助决策部署</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both"/>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依据中央和国务院深化医疗保障制度改革的意见进行决策</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执行预算绩效</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管理和资金</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管理办法</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both"/>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决策符合预算绩效管理要求和资金管理办法</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完成</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决策</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过程</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决策程序规范</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both"/>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程序合规完整</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合理</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目标</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绩效目标</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设置科学</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遵照财政部和国家医疗保障局下达的年度总体目标和具体绩效指标</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合理</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绩效目标</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分解细化</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对财政部和国家医疗保障局下达的年度总体目标结合实际进行分解细化</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是</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restart"/>
            <w:tcBorders>
              <w:top w:val="nil"/>
              <w:left w:val="single" w:color="auto" w:sz="4" w:space="0"/>
              <w:right w:val="single" w:color="auto" w:sz="4" w:space="0"/>
            </w:tcBorders>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w:t>
            </w:r>
          </w:p>
          <w:p>
            <w:pPr>
              <w:widowControl/>
              <w:adjustRightInd w:val="0"/>
              <w:spacing w:line="240" w:lineRule="exact"/>
              <w:jc w:val="center"/>
              <w:rPr>
                <w:rFonts w:ascii="仿宋_GB2312" w:hAnsi="宋体" w:eastAsia="仿宋_GB2312" w:cs="宋体"/>
                <w:kern w:val="0"/>
                <w:szCs w:val="21"/>
              </w:rPr>
            </w:pPr>
            <w:r>
              <w:rPr>
                <w:rFonts w:ascii="仿宋_GB2312" w:hAnsi="宋体" w:eastAsia="仿宋_GB2312" w:cs="宋体"/>
                <w:kern w:val="0"/>
                <w:szCs w:val="21"/>
              </w:rPr>
              <w:t>分配</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w:t>
            </w:r>
            <w:r>
              <w:rPr>
                <w:rFonts w:ascii="仿宋_GB2312" w:hAnsi="宋体" w:eastAsia="仿宋_GB2312" w:cs="宋体"/>
                <w:kern w:val="0"/>
                <w:szCs w:val="21"/>
              </w:rPr>
              <w:t>分配合理性</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按规定合理分配</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合理</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w:t>
            </w:r>
            <w:r>
              <w:rPr>
                <w:rFonts w:ascii="仿宋_GB2312" w:hAnsi="宋体" w:eastAsia="仿宋_GB2312" w:cs="宋体"/>
                <w:kern w:val="0"/>
                <w:szCs w:val="21"/>
              </w:rPr>
              <w:t>分配规范性</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规范分配资金</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规范</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02" w:type="dxa"/>
            <w:gridSpan w:val="2"/>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过程</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管理</w:t>
            </w:r>
          </w:p>
        </w:tc>
        <w:tc>
          <w:tcPr>
            <w:tcW w:w="763"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管理</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资金使用</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合规性</w:t>
            </w:r>
          </w:p>
        </w:tc>
        <w:tc>
          <w:tcPr>
            <w:tcW w:w="1718"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按规定使用，专款专用</w:t>
            </w:r>
          </w:p>
        </w:tc>
        <w:tc>
          <w:tcPr>
            <w:tcW w:w="1843" w:type="dxa"/>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是</w:t>
            </w:r>
          </w:p>
        </w:tc>
        <w:tc>
          <w:tcPr>
            <w:tcW w:w="1656"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基金监管</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有效性</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监管措施有力</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是</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组织</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管理</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管理制度</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健全有效性</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制度健</w:t>
            </w:r>
            <w:bookmarkStart w:id="0" w:name="_GoBack"/>
            <w:bookmarkEnd w:id="0"/>
            <w:r>
              <w:rPr>
                <w:rFonts w:hint="eastAsia" w:ascii="仿宋_GB2312" w:hAnsi="仿宋_GB2312" w:eastAsia="仿宋_GB2312" w:cs="仿宋_GB2312"/>
                <w:sz w:val="21"/>
                <w:szCs w:val="21"/>
              </w:rPr>
              <w:t>全且执行有效</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是</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top w:val="nil"/>
              <w:left w:val="single" w:color="auto" w:sz="4" w:space="0"/>
              <w:bottom w:val="single" w:color="000000"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绩效评价机制</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健全性</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全面实现绩效管理</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是</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763" w:type="dxa"/>
            <w:vMerge w:val="restart"/>
            <w:tcBorders>
              <w:top w:val="nil"/>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医疗救助对象</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人次规模</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符合救助条件的对象按规定纳入救助范围</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24966人</w:t>
            </w:r>
          </w:p>
        </w:tc>
        <w:tc>
          <w:tcPr>
            <w:tcW w:w="165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32"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left w:val="single" w:color="auto" w:sz="4" w:space="0"/>
              <w:bottom w:val="single" w:color="000000"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基金累计结余</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占筹集基金</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总额的比重</w:t>
            </w:r>
          </w:p>
        </w:tc>
        <w:tc>
          <w:tcPr>
            <w:tcW w:w="1718" w:type="dxa"/>
            <w:gridSpan w:val="2"/>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≤15%</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12.31%</w:t>
            </w:r>
          </w:p>
        </w:tc>
        <w:tc>
          <w:tcPr>
            <w:tcW w:w="165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spacing w:val="-6"/>
                <w:kern w:val="0"/>
                <w:szCs w:val="21"/>
              </w:rPr>
            </w:pPr>
          </w:p>
        </w:tc>
      </w:tr>
      <w:tr>
        <w:tblPrEx>
          <w:tblCellMar>
            <w:top w:w="0" w:type="dxa"/>
            <w:left w:w="108" w:type="dxa"/>
            <w:bottom w:w="0" w:type="dxa"/>
            <w:right w:w="108" w:type="dxa"/>
          </w:tblCellMar>
        </w:tblPrEx>
        <w:trPr>
          <w:trHeight w:val="113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restart"/>
            <w:tcBorders>
              <w:top w:val="nil"/>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w:t>
            </w:r>
          </w:p>
          <w:p>
            <w:pPr>
              <w:widowControl/>
              <w:adjustRightInd w:val="0"/>
              <w:spacing w:line="240" w:lineRule="exact"/>
              <w:jc w:val="center"/>
              <w:rPr>
                <w:rFonts w:ascii="仿宋_GB2312" w:hAnsi="宋体" w:eastAsia="仿宋_GB2312" w:cs="宋体"/>
                <w:kern w:val="0"/>
                <w:szCs w:val="21"/>
              </w:rPr>
            </w:pPr>
            <w:r>
              <w:rPr>
                <w:rFonts w:ascii="仿宋_GB2312" w:hAnsi="宋体" w:eastAsia="仿宋_GB2312" w:cs="宋体"/>
                <w:kern w:val="0"/>
                <w:szCs w:val="21"/>
              </w:rPr>
              <w:t>指标</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重点救助对象政策范围内住院自付费用年度限额内救助比率</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70</w:t>
            </w:r>
            <w:r>
              <w:rPr>
                <w:rFonts w:hint="eastAsia" w:ascii="仿宋_GB2312" w:hAnsi="仿宋_GB2312" w:eastAsia="仿宋_GB2312" w:cs="仿宋_GB2312"/>
                <w:sz w:val="21"/>
                <w:szCs w:val="21"/>
              </w:rPr>
              <w:t>%</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70%</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118"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left w:val="single" w:color="auto" w:sz="4" w:space="0"/>
              <w:bottom w:val="single" w:color="000000"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符合</w:t>
            </w:r>
            <w:r>
              <w:rPr>
                <w:rFonts w:ascii="仿宋_GB2312" w:hAnsi="宋体" w:eastAsia="仿宋_GB2312" w:cs="宋体"/>
                <w:kern w:val="0"/>
                <w:szCs w:val="21"/>
              </w:rPr>
              <w:t>资助条件的农村低收入人口资助参保政策覆盖率</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rPr>
              <w:t>%</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91"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w:t>
            </w:r>
          </w:p>
          <w:p>
            <w:pPr>
              <w:widowControl/>
              <w:adjustRightInd w:val="0"/>
              <w:spacing w:line="240" w:lineRule="exact"/>
              <w:jc w:val="center"/>
              <w:rPr>
                <w:rFonts w:ascii="仿宋_GB2312" w:hAnsi="宋体" w:eastAsia="仿宋_GB2312" w:cs="宋体"/>
                <w:kern w:val="0"/>
                <w:szCs w:val="21"/>
              </w:rPr>
            </w:pPr>
            <w:r>
              <w:rPr>
                <w:rFonts w:ascii="仿宋_GB2312" w:hAnsi="宋体" w:eastAsia="仿宋_GB2312" w:cs="宋体"/>
                <w:kern w:val="0"/>
                <w:szCs w:val="21"/>
              </w:rPr>
              <w:t>指标</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市域内“一站式”即时结算覆盖地区</w:t>
            </w:r>
          </w:p>
        </w:tc>
        <w:tc>
          <w:tcPr>
            <w:tcW w:w="1718"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不低于上年</w:t>
            </w:r>
          </w:p>
        </w:tc>
        <w:tc>
          <w:tcPr>
            <w:tcW w:w="1843"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全覆盖</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09"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restart"/>
            <w:tcBorders>
              <w:top w:val="nil"/>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763"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医疗救助对象覆盖范围</w:t>
            </w:r>
          </w:p>
        </w:tc>
        <w:tc>
          <w:tcPr>
            <w:tcW w:w="1718"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稳步拓展</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 w:val="21"/>
                <w:szCs w:val="21"/>
                <w:lang w:val="en-US" w:eastAsia="zh-CN" w:bidi="ar-SA"/>
              </w:rPr>
            </w:pPr>
            <w:r>
              <w:rPr>
                <w:rFonts w:hint="eastAsia" w:asciiTheme="majorEastAsia" w:hAnsiTheme="majorEastAsia" w:eastAsiaTheme="majorEastAsia"/>
                <w:sz w:val="16"/>
                <w:szCs w:val="16"/>
              </w:rPr>
              <w:t>稳步拓展</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38"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困难群众看病就医方便程度</w:t>
            </w:r>
          </w:p>
        </w:tc>
        <w:tc>
          <w:tcPr>
            <w:tcW w:w="1718"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pStyle w:val="12"/>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明显提高</w:t>
            </w:r>
          </w:p>
        </w:tc>
        <w:tc>
          <w:tcPr>
            <w:tcW w:w="1843"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pStyle w:val="12"/>
              <w:jc w:val="center"/>
              <w:rPr>
                <w:rFonts w:hint="default" w:ascii="仿宋_GB2312" w:hAnsi="宋体" w:eastAsia="仿宋_GB2312" w:cs="宋体"/>
                <w:kern w:val="0"/>
                <w:sz w:val="21"/>
                <w:szCs w:val="21"/>
                <w:lang w:val="en-US" w:eastAsia="zh-CN" w:bidi="ar-SA"/>
              </w:rPr>
            </w:pPr>
            <w:r>
              <w:rPr>
                <w:rFonts w:hint="eastAsia" w:asciiTheme="majorEastAsia" w:hAnsiTheme="majorEastAsia" w:eastAsiaTheme="majorEastAsia"/>
                <w:sz w:val="16"/>
                <w:szCs w:val="16"/>
              </w:rPr>
              <w:t>明显提高</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80"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困难群众就医负担减轻程度</w:t>
            </w:r>
          </w:p>
        </w:tc>
        <w:tc>
          <w:tcPr>
            <w:tcW w:w="1718"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pStyle w:val="12"/>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有效缓解</w:t>
            </w:r>
          </w:p>
        </w:tc>
        <w:tc>
          <w:tcPr>
            <w:tcW w:w="1843"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pStyle w:val="12"/>
              <w:jc w:val="center"/>
              <w:rPr>
                <w:rFonts w:hint="default" w:ascii="仿宋_GB2312" w:hAnsi="宋体" w:eastAsia="仿宋_GB2312" w:cs="宋体"/>
                <w:kern w:val="0"/>
                <w:sz w:val="21"/>
                <w:szCs w:val="21"/>
                <w:lang w:val="en-US" w:eastAsia="zh-CN" w:bidi="ar-SA"/>
              </w:rPr>
            </w:pPr>
            <w:r>
              <w:rPr>
                <w:rFonts w:hint="eastAsia" w:asciiTheme="majorEastAsia" w:hAnsiTheme="majorEastAsia" w:eastAsiaTheme="majorEastAsia"/>
                <w:sz w:val="16"/>
                <w:szCs w:val="16"/>
              </w:rPr>
              <w:t>有效缓解</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34"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影响指标</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对健全社会救助体系的影响</w:t>
            </w:r>
          </w:p>
        </w:tc>
        <w:tc>
          <w:tcPr>
            <w:tcW w:w="1718"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pStyle w:val="12"/>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成效明显</w:t>
            </w:r>
          </w:p>
        </w:tc>
        <w:tc>
          <w:tcPr>
            <w:tcW w:w="1843"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pStyle w:val="12"/>
              <w:jc w:val="center"/>
              <w:rPr>
                <w:rFonts w:hint="default" w:ascii="仿宋_GB2312" w:hAnsi="宋体" w:eastAsia="仿宋_GB2312" w:cs="宋体"/>
                <w:kern w:val="0"/>
                <w:sz w:val="21"/>
                <w:szCs w:val="21"/>
                <w:lang w:val="en-US" w:eastAsia="zh-CN" w:bidi="ar-SA"/>
              </w:rPr>
            </w:pPr>
            <w:r>
              <w:rPr>
                <w:rFonts w:hint="eastAsia" w:asciiTheme="majorEastAsia" w:hAnsiTheme="majorEastAsia" w:eastAsiaTheme="majorEastAsia"/>
                <w:sz w:val="16"/>
                <w:szCs w:val="16"/>
              </w:rPr>
              <w:t>成效明显</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46" w:hRule="atLeast"/>
          <w:jc w:val="center"/>
        </w:trPr>
        <w:tc>
          <w:tcPr>
            <w:tcW w:w="490" w:type="dxa"/>
            <w:vMerge w:val="continue"/>
            <w:tcBorders>
              <w:left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vMerge w:val="continue"/>
            <w:tcBorders>
              <w:left w:val="single" w:color="auto" w:sz="4" w:space="0"/>
              <w:bottom w:val="single" w:color="000000"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763"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对健全社会保障体系的作用</w:t>
            </w:r>
          </w:p>
        </w:tc>
        <w:tc>
          <w:tcPr>
            <w:tcW w:w="1718"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pPr>
              <w:pStyle w:val="12"/>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成效明显</w:t>
            </w:r>
          </w:p>
        </w:tc>
        <w:tc>
          <w:tcPr>
            <w:tcW w:w="1843"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pStyle w:val="12"/>
              <w:jc w:val="center"/>
              <w:rPr>
                <w:rFonts w:hint="default" w:ascii="仿宋_GB2312" w:hAnsi="宋体" w:eastAsia="仿宋_GB2312" w:cs="宋体"/>
                <w:kern w:val="0"/>
                <w:sz w:val="21"/>
                <w:szCs w:val="21"/>
                <w:lang w:val="en-US" w:eastAsia="zh-CN" w:bidi="ar-SA"/>
              </w:rPr>
            </w:pPr>
            <w:r>
              <w:rPr>
                <w:rFonts w:hint="eastAsia" w:asciiTheme="majorEastAsia" w:hAnsiTheme="majorEastAsia" w:eastAsiaTheme="majorEastAsia"/>
                <w:sz w:val="16"/>
                <w:szCs w:val="16"/>
              </w:rPr>
              <w:t>成效明显</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76" w:hRule="atLeast"/>
          <w:jc w:val="center"/>
        </w:trPr>
        <w:tc>
          <w:tcPr>
            <w:tcW w:w="490" w:type="dxa"/>
            <w:vMerge w:val="continue"/>
            <w:tcBorders>
              <w:left w:val="single" w:color="auto" w:sz="4" w:space="0"/>
              <w:bottom w:val="nil"/>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p>
        </w:tc>
        <w:tc>
          <w:tcPr>
            <w:tcW w:w="602" w:type="dxa"/>
            <w:gridSpan w:val="2"/>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满意度</w:t>
            </w:r>
            <w:r>
              <w:rPr>
                <w:rFonts w:ascii="仿宋_GB2312" w:hAnsi="宋体" w:eastAsia="仿宋_GB2312" w:cs="宋体"/>
                <w:kern w:val="0"/>
                <w:szCs w:val="21"/>
              </w:rPr>
              <w:t>指标</w:t>
            </w:r>
          </w:p>
        </w:tc>
        <w:tc>
          <w:tcPr>
            <w:tcW w:w="76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对象</w:t>
            </w:r>
          </w:p>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tc>
        <w:tc>
          <w:tcPr>
            <w:tcW w:w="1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救助</w:t>
            </w:r>
            <w:r>
              <w:rPr>
                <w:rFonts w:ascii="仿宋_GB2312" w:hAnsi="宋体" w:eastAsia="仿宋_GB2312" w:cs="宋体"/>
                <w:kern w:val="0"/>
                <w:szCs w:val="21"/>
              </w:rPr>
              <w:t>对象对</w:t>
            </w:r>
            <w:r>
              <w:rPr>
                <w:rFonts w:hint="eastAsia" w:ascii="仿宋_GB2312" w:hAnsi="宋体" w:eastAsia="仿宋_GB2312" w:cs="宋体"/>
                <w:kern w:val="0"/>
                <w:szCs w:val="21"/>
              </w:rPr>
              <w:t>工作满意度</w:t>
            </w:r>
          </w:p>
        </w:tc>
        <w:tc>
          <w:tcPr>
            <w:tcW w:w="1718" w:type="dxa"/>
            <w:gridSpan w:val="2"/>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≥85%</w:t>
            </w:r>
          </w:p>
        </w:tc>
        <w:tc>
          <w:tcPr>
            <w:tcW w:w="1843" w:type="dxa"/>
            <w:gridSpan w:val="3"/>
            <w:tcBorders>
              <w:top w:val="nil"/>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90%</w:t>
            </w:r>
          </w:p>
        </w:tc>
        <w:tc>
          <w:tcPr>
            <w:tcW w:w="1656"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41"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说明</w:t>
            </w:r>
          </w:p>
        </w:tc>
        <w:tc>
          <w:tcPr>
            <w:tcW w:w="8408" w:type="dxa"/>
            <w:gridSpan w:val="10"/>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adjustRightInd w:val="0"/>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中央巡视、各级审计和财政监督中发现的问题及其所涉及的金额</w:t>
            </w:r>
          </w:p>
        </w:tc>
      </w:tr>
    </w:tbl>
    <w:p>
      <w:pPr>
        <w:adjustRightInd w:val="0"/>
        <w:spacing w:line="400" w:lineRule="exact"/>
        <w:rPr>
          <w:rFonts w:ascii="黑体" w:hAnsi="黑体" w:eastAsia="黑体" w:cs="宋体"/>
          <w:kern w:val="0"/>
          <w:sz w:val="32"/>
          <w:szCs w:val="32"/>
        </w:rPr>
      </w:pPr>
    </w:p>
    <w:p>
      <w:pPr>
        <w:ind w:right="720"/>
        <w:rPr>
          <w:rFonts w:ascii="仿宋_GB2312" w:eastAsia="仿宋_GB2312"/>
          <w:w w:val="9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2Zjg0MDZmODBkZWFiNzcxM2U5ZDk5OTU5YmE3YjEifQ=="/>
  </w:docVars>
  <w:rsids>
    <w:rsidRoot w:val="00A26A93"/>
    <w:rsid w:val="0001369F"/>
    <w:rsid w:val="00092122"/>
    <w:rsid w:val="000B7BD0"/>
    <w:rsid w:val="000E5F13"/>
    <w:rsid w:val="00105DF4"/>
    <w:rsid w:val="00202313"/>
    <w:rsid w:val="00220F46"/>
    <w:rsid w:val="00226E5C"/>
    <w:rsid w:val="002315CA"/>
    <w:rsid w:val="00234CFC"/>
    <w:rsid w:val="0024234B"/>
    <w:rsid w:val="00261E74"/>
    <w:rsid w:val="00273EDB"/>
    <w:rsid w:val="002F2486"/>
    <w:rsid w:val="0036392D"/>
    <w:rsid w:val="003A765A"/>
    <w:rsid w:val="00562360"/>
    <w:rsid w:val="005C371C"/>
    <w:rsid w:val="005F1457"/>
    <w:rsid w:val="00626227"/>
    <w:rsid w:val="00630B67"/>
    <w:rsid w:val="0065442D"/>
    <w:rsid w:val="00655725"/>
    <w:rsid w:val="00677EA6"/>
    <w:rsid w:val="006B7F0D"/>
    <w:rsid w:val="0073542B"/>
    <w:rsid w:val="007937C4"/>
    <w:rsid w:val="007C2F09"/>
    <w:rsid w:val="008264A1"/>
    <w:rsid w:val="00840949"/>
    <w:rsid w:val="008A7B65"/>
    <w:rsid w:val="008B01E6"/>
    <w:rsid w:val="008B4F81"/>
    <w:rsid w:val="008C41C1"/>
    <w:rsid w:val="00906F1B"/>
    <w:rsid w:val="009E583C"/>
    <w:rsid w:val="00A00FBB"/>
    <w:rsid w:val="00A26A93"/>
    <w:rsid w:val="00A35D5B"/>
    <w:rsid w:val="00AC26F1"/>
    <w:rsid w:val="00B96C1A"/>
    <w:rsid w:val="00C30269"/>
    <w:rsid w:val="00CC04FB"/>
    <w:rsid w:val="00CE0F2E"/>
    <w:rsid w:val="00CE143B"/>
    <w:rsid w:val="00D16000"/>
    <w:rsid w:val="00D353FB"/>
    <w:rsid w:val="00D672B0"/>
    <w:rsid w:val="00D93306"/>
    <w:rsid w:val="00DB5B5E"/>
    <w:rsid w:val="00DC3F5A"/>
    <w:rsid w:val="00E02D6B"/>
    <w:rsid w:val="00E06566"/>
    <w:rsid w:val="00E25931"/>
    <w:rsid w:val="00E64EF0"/>
    <w:rsid w:val="00E73970"/>
    <w:rsid w:val="00F23EB0"/>
    <w:rsid w:val="00F25BE1"/>
    <w:rsid w:val="00F85494"/>
    <w:rsid w:val="00F85996"/>
    <w:rsid w:val="00F941FA"/>
    <w:rsid w:val="00FD4C51"/>
    <w:rsid w:val="6C7441AA"/>
    <w:rsid w:val="6F9E172A"/>
    <w:rsid w:val="7DA6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 w:type="paragraph" w:customStyle="1" w:styleId="12">
    <w:name w:val="Char"/>
    <w:basedOn w:val="1"/>
    <w:qFormat/>
    <w:uiPriority w:val="99"/>
    <w:pPr>
      <w:widowControl/>
      <w:spacing w:after="160" w:line="240" w:lineRule="exact"/>
      <w:jc w:val="left"/>
    </w:pPr>
    <w:rPr>
      <w:szCs w:val="24"/>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2353</Words>
  <Characters>2430</Characters>
  <Lines>20</Lines>
  <Paragraphs>5</Paragraphs>
  <TotalTime>14</TotalTime>
  <ScaleCrop>false</ScaleCrop>
  <LinksUpToDate>false</LinksUpToDate>
  <CharactersWithSpaces>2453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2020-03-26T08:57:00Z</dcterms:created>
  <dc:creator>lenovo</dc:creator>
  <cp:lastModifiedBy>一心一乐</cp:lastModifiedBy>
  <cp:lastPrinted>2023-02-01T09:28:00Z</cp:lastPrinted>
  <dcterms:modified xsi:type="dcterms:W3CDTF">2023-02-08T02:58:42Z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7E1A6DF70F98406A853976DE6653D092</vt:lpwstr>
  </property>
</Properties>
</file>